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C9F16">
      <w:pPr>
        <w:spacing w:line="360" w:lineRule="auto"/>
        <w:ind w:firstLine="643"/>
        <w:jc w:val="center"/>
        <w:rPr>
          <w:rFonts w:ascii="宋体" w:hAnsi="宋体"/>
          <w:b/>
          <w:bCs/>
          <w:color w:val="auto"/>
          <w:sz w:val="32"/>
          <w:szCs w:val="32"/>
        </w:rPr>
      </w:pPr>
    </w:p>
    <w:p w14:paraId="22E04668">
      <w:pPr>
        <w:spacing w:line="360" w:lineRule="auto"/>
        <w:ind w:firstLine="643"/>
        <w:jc w:val="center"/>
        <w:rPr>
          <w:rFonts w:ascii="宋体" w:hAnsi="宋体"/>
          <w:b/>
          <w:bCs/>
          <w:color w:val="auto"/>
          <w:sz w:val="32"/>
          <w:szCs w:val="32"/>
        </w:rPr>
      </w:pPr>
    </w:p>
    <w:p w14:paraId="31D0595C">
      <w:pPr>
        <w:spacing w:line="360" w:lineRule="auto"/>
        <w:ind w:firstLine="643"/>
        <w:jc w:val="center"/>
        <w:rPr>
          <w:rFonts w:ascii="宋体" w:hAnsi="宋体"/>
          <w:b/>
          <w:bCs/>
          <w:color w:val="auto"/>
          <w:sz w:val="32"/>
          <w:szCs w:val="32"/>
        </w:rPr>
      </w:pPr>
    </w:p>
    <w:p w14:paraId="4EEBE150">
      <w:pPr>
        <w:spacing w:line="360" w:lineRule="auto"/>
        <w:ind w:firstLine="643"/>
        <w:jc w:val="center"/>
        <w:rPr>
          <w:rFonts w:ascii="宋体" w:hAnsi="宋体"/>
          <w:b/>
          <w:bCs/>
          <w:color w:val="auto"/>
          <w:sz w:val="32"/>
          <w:szCs w:val="32"/>
        </w:rPr>
      </w:pPr>
    </w:p>
    <w:p w14:paraId="5D701CE8">
      <w:pPr>
        <w:spacing w:line="360" w:lineRule="auto"/>
        <w:ind w:firstLine="643"/>
        <w:jc w:val="center"/>
        <w:rPr>
          <w:rFonts w:ascii="宋体" w:hAnsi="宋体"/>
          <w:b/>
          <w:bCs/>
          <w:color w:val="auto"/>
          <w:sz w:val="32"/>
          <w:szCs w:val="32"/>
        </w:rPr>
      </w:pPr>
    </w:p>
    <w:p w14:paraId="3DC4A09B">
      <w:pPr>
        <w:spacing w:line="360" w:lineRule="auto"/>
        <w:ind w:firstLine="643"/>
        <w:jc w:val="center"/>
        <w:rPr>
          <w:rFonts w:ascii="宋体" w:hAnsi="宋体"/>
          <w:b/>
          <w:bCs/>
          <w:color w:val="auto"/>
          <w:sz w:val="32"/>
          <w:szCs w:val="32"/>
        </w:rPr>
      </w:pPr>
    </w:p>
    <w:p w14:paraId="531EA656">
      <w:pPr>
        <w:spacing w:line="360" w:lineRule="auto"/>
        <w:ind w:firstLine="643"/>
        <w:jc w:val="center"/>
        <w:rPr>
          <w:rFonts w:ascii="宋体" w:hAnsi="宋体"/>
          <w:b/>
          <w:bCs/>
          <w:color w:val="auto"/>
          <w:sz w:val="32"/>
          <w:szCs w:val="32"/>
        </w:rPr>
      </w:pPr>
    </w:p>
    <w:p w14:paraId="3773C730">
      <w:pPr>
        <w:spacing w:line="360" w:lineRule="auto"/>
        <w:ind w:firstLine="643"/>
        <w:jc w:val="center"/>
        <w:rPr>
          <w:rFonts w:ascii="宋体" w:hAnsi="宋体"/>
          <w:b/>
          <w:bCs/>
          <w:color w:val="auto"/>
          <w:sz w:val="84"/>
          <w:szCs w:val="84"/>
        </w:rPr>
      </w:pPr>
      <w:r>
        <w:rPr>
          <w:rFonts w:hint="eastAsia" w:ascii="宋体" w:hAnsi="宋体"/>
          <w:b/>
          <w:bCs/>
          <w:color w:val="auto"/>
          <w:sz w:val="84"/>
          <w:szCs w:val="84"/>
        </w:rPr>
        <w:t>初步采购需求</w:t>
      </w:r>
    </w:p>
    <w:p w14:paraId="4122462A">
      <w:pPr>
        <w:spacing w:line="360" w:lineRule="auto"/>
        <w:ind w:firstLine="643"/>
        <w:jc w:val="center"/>
        <w:rPr>
          <w:rFonts w:ascii="宋体" w:hAnsi="宋体"/>
          <w:b/>
          <w:bCs/>
          <w:color w:val="auto"/>
          <w:sz w:val="84"/>
          <w:szCs w:val="84"/>
        </w:rPr>
      </w:pPr>
    </w:p>
    <w:p w14:paraId="7C01BD8B">
      <w:pPr>
        <w:spacing w:line="360" w:lineRule="auto"/>
        <w:ind w:firstLine="643"/>
        <w:jc w:val="center"/>
        <w:rPr>
          <w:rFonts w:ascii="宋体" w:hAnsi="宋体"/>
          <w:b/>
          <w:bCs/>
          <w:color w:val="auto"/>
          <w:sz w:val="84"/>
          <w:szCs w:val="84"/>
        </w:rPr>
      </w:pPr>
    </w:p>
    <w:p w14:paraId="7492E9D4">
      <w:pPr>
        <w:spacing w:line="360" w:lineRule="auto"/>
        <w:ind w:firstLine="643"/>
        <w:jc w:val="center"/>
        <w:rPr>
          <w:rFonts w:ascii="宋体" w:hAnsi="宋体"/>
          <w:b/>
          <w:bCs/>
          <w:color w:val="auto"/>
          <w:sz w:val="84"/>
          <w:szCs w:val="84"/>
        </w:rPr>
      </w:pPr>
    </w:p>
    <w:p w14:paraId="694E2971">
      <w:pPr>
        <w:spacing w:line="360" w:lineRule="auto"/>
        <w:ind w:firstLine="643"/>
        <w:jc w:val="center"/>
        <w:rPr>
          <w:rFonts w:ascii="宋体" w:hAnsi="宋体"/>
          <w:b/>
          <w:bCs/>
          <w:color w:val="auto"/>
          <w:sz w:val="84"/>
          <w:szCs w:val="84"/>
        </w:rPr>
      </w:pPr>
    </w:p>
    <w:p w14:paraId="5E7D788E">
      <w:pPr>
        <w:spacing w:line="360" w:lineRule="auto"/>
        <w:ind w:firstLine="1606" w:firstLineChars="500"/>
        <w:jc w:val="both"/>
        <w:rPr>
          <w:rFonts w:hint="eastAsia" w:ascii="宋体" w:hAnsi="宋体"/>
          <w:b/>
          <w:bCs/>
          <w:color w:val="auto"/>
          <w:sz w:val="32"/>
          <w:szCs w:val="32"/>
        </w:rPr>
      </w:pPr>
      <w:r>
        <w:rPr>
          <w:rFonts w:hint="eastAsia" w:ascii="宋体" w:hAnsi="宋体"/>
          <w:b/>
          <w:bCs/>
          <w:color w:val="auto"/>
          <w:sz w:val="32"/>
          <w:szCs w:val="32"/>
        </w:rPr>
        <w:t>编制单位：广东省农业科学院动物科学研究所</w:t>
      </w:r>
    </w:p>
    <w:p w14:paraId="5FCACD60">
      <w:pPr>
        <w:spacing w:line="360" w:lineRule="auto"/>
        <w:ind w:firstLine="1606" w:firstLineChars="500"/>
        <w:jc w:val="both"/>
        <w:rPr>
          <w:rFonts w:ascii="宋体" w:hAnsi="宋体"/>
          <w:b/>
          <w:bCs/>
          <w:color w:val="auto"/>
          <w:sz w:val="32"/>
          <w:szCs w:val="32"/>
        </w:rPr>
      </w:pPr>
      <w:r>
        <w:rPr>
          <w:rFonts w:hint="eastAsia" w:ascii="宋体" w:hAnsi="宋体"/>
          <w:b/>
          <w:bCs/>
          <w:color w:val="auto"/>
          <w:sz w:val="32"/>
          <w:szCs w:val="32"/>
        </w:rPr>
        <w:t>编制时间：2026年</w:t>
      </w:r>
      <w:r>
        <w:rPr>
          <w:rFonts w:hint="eastAsia" w:ascii="宋体" w:hAnsi="宋体"/>
          <w:b/>
          <w:bCs/>
          <w:color w:val="auto"/>
          <w:sz w:val="32"/>
          <w:szCs w:val="32"/>
          <w:lang w:val="en-US" w:eastAsia="zh-CN"/>
        </w:rPr>
        <w:t>9</w:t>
      </w:r>
      <w:r>
        <w:rPr>
          <w:rFonts w:hint="eastAsia" w:ascii="宋体" w:hAnsi="宋体"/>
          <w:b/>
          <w:bCs/>
          <w:color w:val="auto"/>
          <w:sz w:val="32"/>
          <w:szCs w:val="32"/>
        </w:rPr>
        <w:t>月</w:t>
      </w:r>
    </w:p>
    <w:p w14:paraId="4C6DD64B">
      <w:pPr>
        <w:spacing w:line="360" w:lineRule="auto"/>
        <w:rPr>
          <w:rFonts w:ascii="宋体" w:hAnsi="宋体"/>
          <w:b/>
          <w:bCs/>
          <w:color w:val="auto"/>
          <w:sz w:val="32"/>
          <w:szCs w:val="32"/>
        </w:rPr>
      </w:pPr>
    </w:p>
    <w:p w14:paraId="5A2276C1">
      <w:pPr>
        <w:spacing w:line="360" w:lineRule="auto"/>
        <w:ind w:firstLine="643"/>
        <w:jc w:val="center"/>
        <w:rPr>
          <w:rFonts w:ascii="宋体" w:hAnsi="宋体"/>
          <w:b/>
          <w:bCs/>
          <w:color w:val="auto"/>
          <w:sz w:val="32"/>
          <w:szCs w:val="32"/>
        </w:rPr>
      </w:pPr>
      <w:r>
        <w:rPr>
          <w:rFonts w:ascii="宋体" w:hAnsi="宋体"/>
          <w:b/>
          <w:bCs/>
          <w:color w:val="auto"/>
          <w:szCs w:val="21"/>
        </w:rPr>
        <w:t>需求调查机构根据本初步采购需求进行市场调查</w:t>
      </w:r>
    </w:p>
    <w:p w14:paraId="3E8C999B">
      <w:pPr>
        <w:rPr>
          <w:rFonts w:ascii="宋体" w:hAnsi="宋体"/>
          <w:b/>
          <w:bCs/>
          <w:color w:val="auto"/>
          <w:sz w:val="32"/>
          <w:szCs w:val="32"/>
        </w:rPr>
      </w:pPr>
      <w:r>
        <w:rPr>
          <w:rFonts w:ascii="宋体" w:hAnsi="宋体"/>
          <w:b/>
          <w:bCs/>
          <w:color w:val="auto"/>
          <w:sz w:val="32"/>
          <w:szCs w:val="32"/>
        </w:rPr>
        <w:br w:type="page"/>
      </w:r>
    </w:p>
    <w:p w14:paraId="6712CBE1">
      <w:pPr>
        <w:jc w:val="center"/>
        <w:outlineLvl w:val="0"/>
        <w:rPr>
          <w:rFonts w:hint="eastAsia"/>
          <w:color w:val="auto"/>
          <w:sz w:val="28"/>
          <w:szCs w:val="28"/>
        </w:rPr>
        <w:sectPr>
          <w:pgSz w:w="11906" w:h="16838"/>
          <w:pgMar w:top="1440" w:right="1800" w:bottom="1440" w:left="1800" w:header="851" w:footer="992" w:gutter="0"/>
          <w:cols w:space="425" w:num="1"/>
          <w:docGrid w:type="lines" w:linePitch="312" w:charSpace="0"/>
        </w:sectPr>
      </w:pPr>
    </w:p>
    <w:p w14:paraId="20A3F6B7">
      <w:pPr>
        <w:jc w:val="center"/>
        <w:outlineLvl w:val="0"/>
        <w:rPr>
          <w:rFonts w:hint="default" w:asciiTheme="minorEastAsia" w:hAnsiTheme="minorEastAsia" w:eastAsiaTheme="minorEastAsia"/>
          <w:color w:val="auto"/>
          <w:sz w:val="40"/>
          <w:szCs w:val="40"/>
          <w:lang w:val="en-US" w:eastAsia="zh-CN"/>
        </w:rPr>
      </w:pPr>
      <w:r>
        <w:rPr>
          <w:rFonts w:hint="eastAsia"/>
          <w:color w:val="auto"/>
          <w:sz w:val="36"/>
          <w:szCs w:val="36"/>
          <w:lang w:val="en-US" w:eastAsia="zh-CN"/>
        </w:rPr>
        <w:t>畜禽智能化生物育种平台及突破性品种培育项目2026年度仪器设备采购项目用户需求书</w:t>
      </w:r>
    </w:p>
    <w:p w14:paraId="21B334FB">
      <w:pPr>
        <w:outlineLvl w:val="0"/>
        <w:rPr>
          <w:rFonts w:asciiTheme="minorEastAsia" w:hAnsiTheme="minorEastAsia"/>
          <w:color w:val="auto"/>
          <w:sz w:val="32"/>
          <w:szCs w:val="32"/>
        </w:rPr>
      </w:pPr>
      <w:r>
        <w:rPr>
          <w:rFonts w:hint="eastAsia" w:asciiTheme="minorEastAsia" w:hAnsiTheme="minorEastAsia"/>
          <w:color w:val="auto"/>
          <w:sz w:val="32"/>
          <w:szCs w:val="32"/>
          <w:lang w:val="en-US" w:eastAsia="zh-CN"/>
        </w:rPr>
        <w:t>一、</w:t>
      </w:r>
      <w:r>
        <w:rPr>
          <w:rFonts w:asciiTheme="minorEastAsia" w:hAnsiTheme="minorEastAsia"/>
          <w:color w:val="auto"/>
          <w:sz w:val="32"/>
          <w:szCs w:val="32"/>
        </w:rPr>
        <w:t>商务要求</w:t>
      </w:r>
    </w:p>
    <w:p w14:paraId="64F8FC85">
      <w:pPr>
        <w:numPr>
          <w:ilvl w:val="0"/>
          <w:numId w:val="1"/>
        </w:numPr>
        <w:spacing w:line="360" w:lineRule="auto"/>
        <w:rPr>
          <w:rFonts w:asciiTheme="minorEastAsia" w:hAnsiTheme="minorEastAsia"/>
        </w:rPr>
      </w:pPr>
      <w:r>
        <w:rPr>
          <w:rFonts w:hint="eastAsia" w:asciiTheme="minorEastAsia" w:hAnsiTheme="minorEastAsia"/>
        </w:rPr>
        <w:t>项目采购包</w:t>
      </w:r>
    </w:p>
    <w:tbl>
      <w:tblPr>
        <w:tblStyle w:val="12"/>
        <w:tblW w:w="10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365"/>
        <w:gridCol w:w="789"/>
        <w:gridCol w:w="1173"/>
        <w:gridCol w:w="1112"/>
        <w:gridCol w:w="1219"/>
        <w:gridCol w:w="1686"/>
        <w:gridCol w:w="1140"/>
        <w:gridCol w:w="1161"/>
      </w:tblGrid>
      <w:tr w14:paraId="36BF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41F20AFE">
            <w:pPr>
              <w:spacing w:line="360" w:lineRule="auto"/>
              <w:jc w:val="center"/>
              <w:rPr>
                <w:rFonts w:asciiTheme="minorEastAsia" w:hAnsiTheme="minorEastAsia"/>
                <w:b/>
                <w:color w:val="auto"/>
              </w:rPr>
            </w:pPr>
            <w:r>
              <w:rPr>
                <w:rFonts w:hint="eastAsia" w:asciiTheme="minorEastAsia" w:hAnsiTheme="minorEastAsia"/>
                <w:b/>
                <w:color w:val="auto"/>
              </w:rPr>
              <w:t>采购包</w:t>
            </w:r>
          </w:p>
        </w:tc>
        <w:tc>
          <w:tcPr>
            <w:tcW w:w="1409" w:type="dxa"/>
            <w:vAlign w:val="center"/>
          </w:tcPr>
          <w:p w14:paraId="5B3177FB">
            <w:pPr>
              <w:jc w:val="center"/>
              <w:rPr>
                <w:rFonts w:asciiTheme="minorEastAsia" w:hAnsiTheme="minorEastAsia"/>
                <w:b/>
                <w:color w:val="auto"/>
              </w:rPr>
            </w:pPr>
            <w:r>
              <w:rPr>
                <w:rFonts w:hint="eastAsia" w:asciiTheme="minorEastAsia" w:hAnsiTheme="minorEastAsia"/>
                <w:b/>
                <w:color w:val="auto"/>
              </w:rPr>
              <w:t>包名称</w:t>
            </w:r>
          </w:p>
        </w:tc>
        <w:tc>
          <w:tcPr>
            <w:tcW w:w="811" w:type="dxa"/>
            <w:vAlign w:val="center"/>
          </w:tcPr>
          <w:p w14:paraId="0CA67FFB">
            <w:pPr>
              <w:jc w:val="center"/>
              <w:rPr>
                <w:rFonts w:asciiTheme="minorEastAsia" w:hAnsiTheme="minorEastAsia"/>
                <w:b/>
                <w:color w:val="auto"/>
              </w:rPr>
            </w:pPr>
            <w:r>
              <w:rPr>
                <w:rFonts w:hint="eastAsia" w:asciiTheme="minorEastAsia" w:hAnsiTheme="minorEastAsia"/>
                <w:b/>
                <w:color w:val="auto"/>
              </w:rPr>
              <w:t>包类别</w:t>
            </w:r>
          </w:p>
        </w:tc>
        <w:tc>
          <w:tcPr>
            <w:tcW w:w="1218" w:type="dxa"/>
            <w:vAlign w:val="center"/>
          </w:tcPr>
          <w:p w14:paraId="45FCDE77">
            <w:pPr>
              <w:jc w:val="center"/>
              <w:rPr>
                <w:rFonts w:asciiTheme="minorEastAsia" w:hAnsiTheme="minorEastAsia"/>
                <w:b/>
                <w:color w:val="auto"/>
              </w:rPr>
            </w:pPr>
            <w:r>
              <w:rPr>
                <w:rFonts w:hint="eastAsia" w:asciiTheme="minorEastAsia" w:hAnsiTheme="minorEastAsia"/>
                <w:b/>
                <w:color w:val="auto"/>
              </w:rPr>
              <w:t>预算汇总形式</w:t>
            </w:r>
          </w:p>
        </w:tc>
        <w:tc>
          <w:tcPr>
            <w:tcW w:w="1154" w:type="dxa"/>
            <w:vAlign w:val="center"/>
          </w:tcPr>
          <w:p w14:paraId="08DF791D">
            <w:pPr>
              <w:jc w:val="center"/>
              <w:rPr>
                <w:rFonts w:asciiTheme="minorEastAsia" w:hAnsiTheme="minorEastAsia"/>
                <w:b/>
                <w:color w:val="auto"/>
              </w:rPr>
            </w:pPr>
            <w:r>
              <w:rPr>
                <w:rFonts w:hint="eastAsia" w:asciiTheme="minorEastAsia" w:hAnsiTheme="minorEastAsia"/>
                <w:b/>
                <w:color w:val="auto"/>
              </w:rPr>
              <w:t>报价形式</w:t>
            </w:r>
          </w:p>
        </w:tc>
        <w:tc>
          <w:tcPr>
            <w:tcW w:w="1267" w:type="dxa"/>
            <w:vAlign w:val="center"/>
          </w:tcPr>
          <w:p w14:paraId="2A56D2CD">
            <w:pPr>
              <w:jc w:val="center"/>
              <w:rPr>
                <w:rFonts w:asciiTheme="minorEastAsia" w:hAnsiTheme="minorEastAsia"/>
                <w:b/>
                <w:color w:val="auto"/>
              </w:rPr>
            </w:pPr>
            <w:r>
              <w:rPr>
                <w:rFonts w:hint="eastAsia" w:asciiTheme="minorEastAsia" w:hAnsiTheme="minorEastAsia"/>
                <w:b/>
                <w:color w:val="auto"/>
              </w:rPr>
              <w:t>价款名称</w:t>
            </w:r>
          </w:p>
        </w:tc>
        <w:tc>
          <w:tcPr>
            <w:tcW w:w="1510" w:type="dxa"/>
            <w:vAlign w:val="center"/>
          </w:tcPr>
          <w:p w14:paraId="2BA66A97">
            <w:pPr>
              <w:jc w:val="center"/>
              <w:rPr>
                <w:rFonts w:asciiTheme="minorEastAsia" w:hAnsiTheme="minorEastAsia"/>
                <w:b/>
                <w:color w:val="auto"/>
              </w:rPr>
            </w:pPr>
            <w:r>
              <w:rPr>
                <w:rFonts w:hint="eastAsia" w:asciiTheme="minorEastAsia" w:hAnsiTheme="minorEastAsia"/>
                <w:b/>
                <w:color w:val="auto"/>
              </w:rPr>
              <w:t>包金额（元）</w:t>
            </w:r>
          </w:p>
        </w:tc>
        <w:tc>
          <w:tcPr>
            <w:tcW w:w="1183" w:type="dxa"/>
            <w:vAlign w:val="center"/>
          </w:tcPr>
          <w:p w14:paraId="55FD54AB">
            <w:pPr>
              <w:jc w:val="center"/>
              <w:rPr>
                <w:rFonts w:asciiTheme="minorEastAsia" w:hAnsiTheme="minorEastAsia"/>
                <w:b/>
                <w:color w:val="auto"/>
              </w:rPr>
            </w:pPr>
            <w:r>
              <w:rPr>
                <w:rFonts w:hint="eastAsia" w:asciiTheme="minorEastAsia" w:hAnsiTheme="minorEastAsia"/>
                <w:b/>
                <w:color w:val="auto"/>
              </w:rPr>
              <w:t>专门面向中小企业采购</w:t>
            </w:r>
          </w:p>
        </w:tc>
        <w:tc>
          <w:tcPr>
            <w:tcW w:w="1076" w:type="dxa"/>
            <w:vAlign w:val="center"/>
          </w:tcPr>
          <w:p w14:paraId="153C5470">
            <w:pPr>
              <w:jc w:val="center"/>
              <w:rPr>
                <w:rFonts w:asciiTheme="minorEastAsia" w:hAnsiTheme="minorEastAsia"/>
                <w:b/>
                <w:color w:val="auto"/>
              </w:rPr>
            </w:pPr>
            <w:r>
              <w:rPr>
                <w:rFonts w:hint="eastAsia" w:asciiTheme="minorEastAsia" w:hAnsiTheme="minorEastAsia"/>
                <w:b/>
                <w:color w:val="auto"/>
              </w:rPr>
              <w:t>保证金金额（元）</w:t>
            </w:r>
          </w:p>
        </w:tc>
      </w:tr>
      <w:tr w14:paraId="0358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0D6B87C0">
            <w:pPr>
              <w:numPr>
                <w:ilvl w:val="0"/>
                <w:numId w:val="2"/>
              </w:numPr>
              <w:spacing w:line="360" w:lineRule="auto"/>
              <w:jc w:val="center"/>
              <w:rPr>
                <w:rFonts w:asciiTheme="minorEastAsia" w:hAnsiTheme="minorEastAsia"/>
                <w:color w:val="auto"/>
              </w:rPr>
            </w:pPr>
          </w:p>
        </w:tc>
        <w:tc>
          <w:tcPr>
            <w:tcW w:w="1409" w:type="dxa"/>
            <w:vAlign w:val="center"/>
          </w:tcPr>
          <w:p w14:paraId="0FD6FE99">
            <w:pPr>
              <w:spacing w:line="360" w:lineRule="auto"/>
              <w:jc w:val="center"/>
              <w:rPr>
                <w:rFonts w:asciiTheme="minorEastAsia" w:hAnsiTheme="minorEastAsia"/>
                <w:color w:val="auto"/>
              </w:rPr>
            </w:pPr>
            <w:r>
              <w:rPr>
                <w:rFonts w:hint="eastAsia" w:asciiTheme="minorEastAsia" w:hAnsiTheme="minorEastAsia"/>
                <w:color w:val="auto"/>
              </w:rPr>
              <w:t>畜禽智能化生物育种平台及突破性品种培育项目2026年度仪器设备采购</w:t>
            </w:r>
          </w:p>
        </w:tc>
        <w:tc>
          <w:tcPr>
            <w:tcW w:w="811" w:type="dxa"/>
            <w:vAlign w:val="center"/>
          </w:tcPr>
          <w:p w14:paraId="2C7FF4CB">
            <w:pPr>
              <w:spacing w:line="360" w:lineRule="auto"/>
              <w:jc w:val="center"/>
              <w:rPr>
                <w:rFonts w:asciiTheme="minorEastAsia" w:hAnsiTheme="minorEastAsia"/>
                <w:color w:val="auto"/>
              </w:rPr>
            </w:pPr>
            <w:r>
              <w:rPr>
                <w:rFonts w:hint="eastAsia" w:asciiTheme="minorEastAsia" w:hAnsiTheme="minorEastAsia"/>
                <w:color w:val="auto"/>
              </w:rPr>
              <w:t>货物</w:t>
            </w:r>
          </w:p>
        </w:tc>
        <w:tc>
          <w:tcPr>
            <w:tcW w:w="1218" w:type="dxa"/>
            <w:vAlign w:val="center"/>
          </w:tcPr>
          <w:p w14:paraId="19F39902">
            <w:pPr>
              <w:spacing w:line="360" w:lineRule="auto"/>
              <w:jc w:val="center"/>
              <w:rPr>
                <w:rFonts w:asciiTheme="minorEastAsia" w:hAnsiTheme="minorEastAsia"/>
                <w:color w:val="auto"/>
              </w:rPr>
            </w:pPr>
            <w:r>
              <w:rPr>
                <w:rFonts w:hint="eastAsia" w:asciiTheme="minorEastAsia" w:hAnsiTheme="minorEastAsia"/>
                <w:color w:val="auto"/>
              </w:rPr>
              <w:t>包预算制</w:t>
            </w:r>
          </w:p>
        </w:tc>
        <w:tc>
          <w:tcPr>
            <w:tcW w:w="1154" w:type="dxa"/>
            <w:vAlign w:val="center"/>
          </w:tcPr>
          <w:p w14:paraId="21424E84">
            <w:pPr>
              <w:spacing w:line="360" w:lineRule="auto"/>
              <w:jc w:val="center"/>
              <w:rPr>
                <w:rFonts w:asciiTheme="minorEastAsia" w:hAnsiTheme="minorEastAsia"/>
                <w:color w:val="auto"/>
              </w:rPr>
            </w:pPr>
            <w:r>
              <w:rPr>
                <w:rFonts w:cs="Helvetica" w:asciiTheme="minorEastAsia" w:hAnsiTheme="minorEastAsia"/>
                <w:color w:val="auto"/>
                <w:szCs w:val="21"/>
                <w:shd w:val="clear" w:color="auto" w:fill="FFFFFF"/>
              </w:rPr>
              <w:t>总价</w:t>
            </w:r>
          </w:p>
        </w:tc>
        <w:tc>
          <w:tcPr>
            <w:tcW w:w="1267" w:type="dxa"/>
            <w:vAlign w:val="center"/>
          </w:tcPr>
          <w:p w14:paraId="1A7C7C5F">
            <w:pPr>
              <w:spacing w:line="360" w:lineRule="auto"/>
              <w:jc w:val="center"/>
              <w:rPr>
                <w:rFonts w:asciiTheme="minorEastAsia" w:hAnsiTheme="minorEastAsia"/>
                <w:color w:val="auto"/>
              </w:rPr>
            </w:pPr>
            <w:r>
              <w:rPr>
                <w:rFonts w:cs="Helvetica" w:asciiTheme="minorEastAsia" w:hAnsiTheme="minorEastAsia"/>
                <w:color w:val="auto"/>
                <w:szCs w:val="21"/>
                <w:shd w:val="clear" w:color="auto" w:fill="FFFFFF"/>
              </w:rPr>
              <w:t>总价</w:t>
            </w:r>
          </w:p>
        </w:tc>
        <w:tc>
          <w:tcPr>
            <w:tcW w:w="1510" w:type="dxa"/>
            <w:vAlign w:val="center"/>
          </w:tcPr>
          <w:p w14:paraId="074B532C">
            <w:pPr>
              <w:spacing w:line="360" w:lineRule="auto"/>
              <w:jc w:val="center"/>
              <w:rPr>
                <w:rFonts w:asciiTheme="minorEastAsia" w:hAnsiTheme="minorEastAsia"/>
                <w:color w:val="auto"/>
              </w:rPr>
            </w:pPr>
            <w:r>
              <w:rPr>
                <w:rFonts w:hint="eastAsia" w:asciiTheme="minorEastAsia" w:hAnsiTheme="minorEastAsia"/>
                <w:color w:val="auto"/>
              </w:rPr>
              <w:t>￥2,850,000.00</w:t>
            </w:r>
          </w:p>
        </w:tc>
        <w:tc>
          <w:tcPr>
            <w:tcW w:w="1183" w:type="dxa"/>
            <w:vAlign w:val="center"/>
          </w:tcPr>
          <w:p w14:paraId="4E7C604E">
            <w:pPr>
              <w:spacing w:line="360" w:lineRule="auto"/>
              <w:jc w:val="center"/>
              <w:rPr>
                <w:rFonts w:asciiTheme="minorEastAsia" w:hAnsiTheme="minorEastAsia"/>
                <w:color w:val="auto"/>
              </w:rPr>
            </w:pPr>
            <w:r>
              <w:rPr>
                <w:rFonts w:hint="eastAsia" w:asciiTheme="minorEastAsia" w:hAnsiTheme="minorEastAsia"/>
                <w:color w:val="auto"/>
              </w:rPr>
              <w:t>否</w:t>
            </w:r>
          </w:p>
        </w:tc>
        <w:tc>
          <w:tcPr>
            <w:tcW w:w="1076" w:type="dxa"/>
            <w:vAlign w:val="center"/>
          </w:tcPr>
          <w:p w14:paraId="2338B454">
            <w:pPr>
              <w:spacing w:line="360" w:lineRule="auto"/>
              <w:jc w:val="center"/>
              <w:rPr>
                <w:rFonts w:asciiTheme="minorEastAsia" w:hAnsiTheme="minorEastAsia"/>
                <w:color w:val="auto"/>
              </w:rPr>
            </w:pPr>
            <w:r>
              <w:rPr>
                <w:rFonts w:hint="eastAsia" w:asciiTheme="minorEastAsia" w:hAnsiTheme="minorEastAsia"/>
                <w:color w:val="auto"/>
              </w:rPr>
              <w:t>40,000.00</w:t>
            </w:r>
          </w:p>
        </w:tc>
      </w:tr>
    </w:tbl>
    <w:p w14:paraId="0E22484D">
      <w:pPr>
        <w:numPr>
          <w:ilvl w:val="0"/>
          <w:numId w:val="1"/>
        </w:numPr>
        <w:spacing w:line="360" w:lineRule="auto"/>
        <w:rPr>
          <w:rFonts w:asciiTheme="minorEastAsia" w:hAnsiTheme="minorEastAsia"/>
        </w:rPr>
      </w:pPr>
      <w:r>
        <w:rPr>
          <w:rFonts w:hint="eastAsia" w:asciiTheme="minorEastAsia" w:hAnsiTheme="minorEastAsia"/>
        </w:rPr>
        <w:t>项目采购内容</w:t>
      </w:r>
    </w:p>
    <w:p w14:paraId="3DDFFECA">
      <w:pPr>
        <w:spacing w:line="360" w:lineRule="auto"/>
        <w:rPr>
          <w:rFonts w:asciiTheme="minorEastAsia" w:hAnsiTheme="minorEastAsia"/>
          <w:b/>
        </w:rPr>
      </w:pPr>
      <w:r>
        <w:rPr>
          <w:rFonts w:hint="eastAsia" w:asciiTheme="minorEastAsia" w:hAnsiTheme="minorEastAsia"/>
          <w:b/>
        </w:rPr>
        <w:t>说明：性质标“是”表示此采购标的为核心产品</w:t>
      </w:r>
    </w:p>
    <w:tbl>
      <w:tblPr>
        <w:tblStyle w:val="12"/>
        <w:tblW w:w="10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655"/>
        <w:gridCol w:w="674"/>
        <w:gridCol w:w="1161"/>
        <w:gridCol w:w="921"/>
        <w:gridCol w:w="1022"/>
        <w:gridCol w:w="472"/>
        <w:gridCol w:w="846"/>
        <w:gridCol w:w="1022"/>
        <w:gridCol w:w="659"/>
        <w:gridCol w:w="748"/>
        <w:gridCol w:w="899"/>
        <w:gridCol w:w="714"/>
      </w:tblGrid>
      <w:tr w14:paraId="3F2E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06" w:type="dxa"/>
            <w:vAlign w:val="center"/>
          </w:tcPr>
          <w:p w14:paraId="28481F74">
            <w:pPr>
              <w:jc w:val="center"/>
              <w:rPr>
                <w:rFonts w:asciiTheme="minorEastAsia" w:hAnsiTheme="minorEastAsia"/>
                <w:b/>
                <w:color w:val="auto"/>
              </w:rPr>
            </w:pPr>
            <w:r>
              <w:rPr>
                <w:rFonts w:hint="eastAsia" w:asciiTheme="minorEastAsia" w:hAnsiTheme="minorEastAsia"/>
                <w:b/>
                <w:color w:val="auto"/>
              </w:rPr>
              <w:t>采购包</w:t>
            </w:r>
          </w:p>
        </w:tc>
        <w:tc>
          <w:tcPr>
            <w:tcW w:w="678" w:type="dxa"/>
            <w:vAlign w:val="center"/>
          </w:tcPr>
          <w:p w14:paraId="0E1308AB">
            <w:pPr>
              <w:jc w:val="center"/>
              <w:rPr>
                <w:rFonts w:asciiTheme="minorEastAsia" w:hAnsiTheme="minorEastAsia"/>
                <w:b/>
                <w:color w:val="auto"/>
              </w:rPr>
            </w:pPr>
            <w:r>
              <w:rPr>
                <w:rFonts w:hint="eastAsia" w:asciiTheme="minorEastAsia" w:hAnsiTheme="minorEastAsia"/>
                <w:b/>
                <w:color w:val="auto"/>
              </w:rPr>
              <w:t>编号</w:t>
            </w:r>
          </w:p>
        </w:tc>
        <w:tc>
          <w:tcPr>
            <w:tcW w:w="720" w:type="dxa"/>
            <w:vAlign w:val="center"/>
          </w:tcPr>
          <w:p w14:paraId="2C016BCA">
            <w:pPr>
              <w:jc w:val="center"/>
              <w:rPr>
                <w:rFonts w:asciiTheme="minorEastAsia" w:hAnsiTheme="minorEastAsia"/>
                <w:b/>
                <w:color w:val="auto"/>
              </w:rPr>
            </w:pPr>
            <w:r>
              <w:rPr>
                <w:rFonts w:hint="eastAsia" w:asciiTheme="minorEastAsia" w:hAnsiTheme="minorEastAsia"/>
                <w:b/>
                <w:color w:val="auto"/>
              </w:rPr>
              <w:t>是否核心产品</w:t>
            </w:r>
          </w:p>
        </w:tc>
        <w:tc>
          <w:tcPr>
            <w:tcW w:w="960" w:type="dxa"/>
            <w:vAlign w:val="center"/>
          </w:tcPr>
          <w:p w14:paraId="203994A3">
            <w:pPr>
              <w:jc w:val="center"/>
              <w:rPr>
                <w:rFonts w:asciiTheme="minorEastAsia" w:hAnsiTheme="minorEastAsia"/>
                <w:b/>
                <w:color w:val="auto"/>
              </w:rPr>
            </w:pPr>
            <w:r>
              <w:rPr>
                <w:rFonts w:hint="eastAsia" w:asciiTheme="minorEastAsia" w:hAnsiTheme="minorEastAsia"/>
                <w:b/>
                <w:color w:val="auto"/>
              </w:rPr>
              <w:t>品目名称</w:t>
            </w:r>
          </w:p>
        </w:tc>
        <w:tc>
          <w:tcPr>
            <w:tcW w:w="1013" w:type="dxa"/>
            <w:vAlign w:val="center"/>
          </w:tcPr>
          <w:p w14:paraId="67BACDC2">
            <w:pPr>
              <w:jc w:val="center"/>
              <w:rPr>
                <w:rFonts w:asciiTheme="minorEastAsia" w:hAnsiTheme="minorEastAsia"/>
                <w:b/>
                <w:color w:val="auto"/>
              </w:rPr>
            </w:pPr>
            <w:r>
              <w:rPr>
                <w:rFonts w:hint="eastAsia" w:asciiTheme="minorEastAsia" w:hAnsiTheme="minorEastAsia"/>
                <w:b/>
                <w:color w:val="auto"/>
              </w:rPr>
              <w:t>采购标的</w:t>
            </w:r>
          </w:p>
        </w:tc>
        <w:tc>
          <w:tcPr>
            <w:tcW w:w="1054" w:type="dxa"/>
            <w:vAlign w:val="center"/>
          </w:tcPr>
          <w:p w14:paraId="740F7598">
            <w:pPr>
              <w:jc w:val="center"/>
              <w:rPr>
                <w:rFonts w:asciiTheme="minorEastAsia" w:hAnsiTheme="minorEastAsia"/>
                <w:b/>
                <w:color w:val="auto"/>
              </w:rPr>
            </w:pPr>
            <w:r>
              <w:rPr>
                <w:rFonts w:hint="eastAsia" w:asciiTheme="minorEastAsia" w:hAnsiTheme="minorEastAsia"/>
                <w:b/>
                <w:color w:val="auto"/>
              </w:rPr>
              <w:t>单价（元）</w:t>
            </w:r>
          </w:p>
        </w:tc>
        <w:tc>
          <w:tcPr>
            <w:tcW w:w="480" w:type="dxa"/>
            <w:vAlign w:val="center"/>
          </w:tcPr>
          <w:p w14:paraId="509831D2">
            <w:pPr>
              <w:jc w:val="center"/>
              <w:rPr>
                <w:rFonts w:asciiTheme="minorEastAsia" w:hAnsiTheme="minorEastAsia"/>
                <w:b/>
                <w:color w:val="auto"/>
              </w:rPr>
            </w:pPr>
            <w:r>
              <w:rPr>
                <w:rFonts w:hint="eastAsia" w:asciiTheme="minorEastAsia" w:hAnsiTheme="minorEastAsia"/>
                <w:b/>
                <w:color w:val="auto"/>
              </w:rPr>
              <w:t>数量</w:t>
            </w:r>
          </w:p>
        </w:tc>
        <w:tc>
          <w:tcPr>
            <w:tcW w:w="600" w:type="dxa"/>
            <w:vAlign w:val="center"/>
          </w:tcPr>
          <w:p w14:paraId="1CFF3108">
            <w:pPr>
              <w:jc w:val="center"/>
              <w:rPr>
                <w:rFonts w:asciiTheme="minorEastAsia" w:hAnsiTheme="minorEastAsia"/>
                <w:b/>
                <w:color w:val="auto"/>
                <w:highlight w:val="none"/>
              </w:rPr>
            </w:pPr>
            <w:r>
              <w:rPr>
                <w:rFonts w:hint="eastAsia" w:asciiTheme="minorEastAsia" w:hAnsiTheme="minorEastAsia"/>
                <w:b/>
                <w:color w:val="auto"/>
                <w:highlight w:val="none"/>
              </w:rPr>
              <w:t>单位</w:t>
            </w:r>
          </w:p>
        </w:tc>
        <w:tc>
          <w:tcPr>
            <w:tcW w:w="1054" w:type="dxa"/>
            <w:vAlign w:val="center"/>
          </w:tcPr>
          <w:p w14:paraId="16C209DD">
            <w:pPr>
              <w:jc w:val="center"/>
              <w:rPr>
                <w:rFonts w:asciiTheme="minorEastAsia" w:hAnsiTheme="minorEastAsia"/>
                <w:b/>
                <w:color w:val="auto"/>
              </w:rPr>
            </w:pPr>
            <w:r>
              <w:rPr>
                <w:rFonts w:hint="eastAsia" w:asciiTheme="minorEastAsia" w:hAnsiTheme="minorEastAsia"/>
                <w:b/>
                <w:color w:val="auto"/>
              </w:rPr>
              <w:t>品目预算（元）</w:t>
            </w:r>
          </w:p>
        </w:tc>
        <w:tc>
          <w:tcPr>
            <w:tcW w:w="702" w:type="dxa"/>
            <w:vAlign w:val="center"/>
          </w:tcPr>
          <w:p w14:paraId="595F3B78">
            <w:pPr>
              <w:jc w:val="center"/>
              <w:rPr>
                <w:rFonts w:asciiTheme="minorEastAsia" w:hAnsiTheme="minorEastAsia"/>
                <w:b/>
                <w:color w:val="auto"/>
              </w:rPr>
            </w:pPr>
            <w:r>
              <w:rPr>
                <w:rFonts w:hint="eastAsia" w:asciiTheme="minorEastAsia" w:hAnsiTheme="minorEastAsia"/>
                <w:b/>
                <w:color w:val="auto"/>
              </w:rPr>
              <w:t>是否允许进口</w:t>
            </w:r>
          </w:p>
        </w:tc>
        <w:tc>
          <w:tcPr>
            <w:tcW w:w="749" w:type="dxa"/>
            <w:vAlign w:val="center"/>
          </w:tcPr>
          <w:p w14:paraId="5917E432">
            <w:pPr>
              <w:jc w:val="center"/>
              <w:rPr>
                <w:rFonts w:asciiTheme="minorEastAsia" w:hAnsiTheme="minorEastAsia"/>
                <w:b/>
                <w:color w:val="auto"/>
              </w:rPr>
            </w:pPr>
            <w:r>
              <w:rPr>
                <w:rFonts w:hint="eastAsia" w:asciiTheme="minorEastAsia" w:hAnsiTheme="minorEastAsia"/>
                <w:b/>
                <w:color w:val="auto"/>
              </w:rPr>
              <w:t>权重（%）</w:t>
            </w:r>
          </w:p>
        </w:tc>
        <w:tc>
          <w:tcPr>
            <w:tcW w:w="987" w:type="dxa"/>
            <w:vAlign w:val="center"/>
          </w:tcPr>
          <w:p w14:paraId="307DDB99">
            <w:pPr>
              <w:jc w:val="center"/>
              <w:rPr>
                <w:rFonts w:asciiTheme="minorEastAsia" w:hAnsiTheme="minorEastAsia"/>
                <w:b/>
                <w:color w:val="auto"/>
              </w:rPr>
            </w:pPr>
            <w:r>
              <w:rPr>
                <w:rFonts w:hint="eastAsia" w:asciiTheme="minorEastAsia" w:hAnsiTheme="minorEastAsia"/>
                <w:b/>
                <w:color w:val="auto"/>
              </w:rPr>
              <w:t>面向对象情况</w:t>
            </w:r>
          </w:p>
        </w:tc>
        <w:tc>
          <w:tcPr>
            <w:tcW w:w="767" w:type="dxa"/>
            <w:vAlign w:val="center"/>
          </w:tcPr>
          <w:p w14:paraId="49F699FF">
            <w:pPr>
              <w:jc w:val="center"/>
              <w:rPr>
                <w:rFonts w:asciiTheme="minorEastAsia" w:hAnsiTheme="minorEastAsia"/>
                <w:b/>
                <w:color w:val="auto"/>
              </w:rPr>
            </w:pPr>
            <w:r>
              <w:rPr>
                <w:rFonts w:hint="eastAsia" w:asciiTheme="minorEastAsia" w:hAnsiTheme="minorEastAsia"/>
                <w:b/>
                <w:color w:val="auto"/>
              </w:rPr>
              <w:t>所属行业名称</w:t>
            </w:r>
          </w:p>
        </w:tc>
      </w:tr>
      <w:tr w14:paraId="2690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0178E5DE">
            <w:pPr>
              <w:jc w:val="center"/>
              <w:rPr>
                <w:rFonts w:asciiTheme="minorEastAsia" w:hAnsiTheme="minorEastAsia"/>
                <w:color w:val="auto"/>
                <w:highlight w:val="none"/>
              </w:rPr>
            </w:pPr>
            <w:r>
              <w:rPr>
                <w:rFonts w:hint="eastAsia" w:asciiTheme="minorEastAsia" w:hAnsiTheme="minorEastAsia"/>
                <w:color w:val="auto"/>
                <w:highlight w:val="none"/>
              </w:rPr>
              <w:t>1</w:t>
            </w:r>
          </w:p>
        </w:tc>
        <w:tc>
          <w:tcPr>
            <w:tcW w:w="678" w:type="dxa"/>
            <w:vAlign w:val="center"/>
          </w:tcPr>
          <w:p w14:paraId="1D1C0C5D">
            <w:pPr>
              <w:jc w:val="center"/>
              <w:rPr>
                <w:rFonts w:asciiTheme="minorEastAsia" w:hAnsiTheme="minorEastAsia"/>
                <w:color w:val="auto"/>
                <w:highlight w:val="none"/>
              </w:rPr>
            </w:pPr>
            <w:r>
              <w:rPr>
                <w:rFonts w:hint="eastAsia" w:asciiTheme="minorEastAsia" w:hAnsiTheme="minorEastAsia"/>
                <w:color w:val="auto"/>
                <w:highlight w:val="none"/>
              </w:rPr>
              <w:t>1-1</w:t>
            </w:r>
          </w:p>
        </w:tc>
        <w:tc>
          <w:tcPr>
            <w:tcW w:w="720" w:type="dxa"/>
            <w:vAlign w:val="center"/>
          </w:tcPr>
          <w:p w14:paraId="6086E356">
            <w:pPr>
              <w:jc w:val="center"/>
              <w:rPr>
                <w:rFonts w:hint="eastAsia" w:asciiTheme="minorEastAsia" w:hAnsiTheme="minorEastAsia" w:eastAsiaTheme="minorEastAsia"/>
                <w:color w:val="auto"/>
                <w:highlight w:val="none"/>
                <w:lang w:val="en-US" w:eastAsia="zh-CN"/>
              </w:rPr>
            </w:pPr>
            <w:r>
              <w:rPr>
                <w:rFonts w:hint="eastAsia" w:asciiTheme="minorEastAsia" w:hAnsiTheme="minorEastAsia"/>
                <w:color w:val="auto"/>
                <w:highlight w:val="none"/>
                <w:lang w:val="en-US" w:eastAsia="zh-CN"/>
              </w:rPr>
              <w:t>是</w:t>
            </w:r>
          </w:p>
        </w:tc>
        <w:tc>
          <w:tcPr>
            <w:tcW w:w="960" w:type="dxa"/>
            <w:vAlign w:val="center"/>
          </w:tcPr>
          <w:p w14:paraId="60EDD4C0">
            <w:pPr>
              <w:jc w:val="center"/>
              <w:rPr>
                <w:rFonts w:asciiTheme="minorEastAsia" w:hAnsiTheme="minorEastAsia"/>
                <w:color w:val="auto"/>
                <w:highlight w:val="none"/>
              </w:rPr>
            </w:pPr>
            <w:r>
              <w:rPr>
                <w:rFonts w:asciiTheme="minorEastAsia" w:hAnsiTheme="minorEastAsia"/>
                <w:color w:val="auto"/>
                <w:highlight w:val="none"/>
              </w:rPr>
              <w:t>A02100499 其他分析仪器</w:t>
            </w:r>
          </w:p>
        </w:tc>
        <w:tc>
          <w:tcPr>
            <w:tcW w:w="1013" w:type="dxa"/>
            <w:vAlign w:val="center"/>
          </w:tcPr>
          <w:p w14:paraId="17AD722A">
            <w:pPr>
              <w:jc w:val="center"/>
              <w:rPr>
                <w:rFonts w:asciiTheme="minorEastAsia" w:hAnsiTheme="minorEastAsia"/>
                <w:color w:val="auto"/>
                <w:highlight w:val="none"/>
              </w:rPr>
            </w:pPr>
            <w:r>
              <w:rPr>
                <w:rFonts w:hint="eastAsia" w:asciiTheme="minorEastAsia" w:hAnsiTheme="minorEastAsia"/>
                <w:color w:val="auto"/>
                <w:highlight w:val="none"/>
              </w:rPr>
              <w:t>全自动凯氏定氮仪</w:t>
            </w:r>
          </w:p>
        </w:tc>
        <w:tc>
          <w:tcPr>
            <w:tcW w:w="1054" w:type="dxa"/>
            <w:vAlign w:val="center"/>
          </w:tcPr>
          <w:p w14:paraId="0D0C2B22">
            <w:pPr>
              <w:jc w:val="center"/>
              <w:rPr>
                <w:rFonts w:asciiTheme="minorEastAsia" w:hAnsiTheme="minorEastAsia"/>
                <w:color w:val="auto"/>
                <w:highlight w:val="none"/>
              </w:rPr>
            </w:pPr>
            <w:r>
              <w:rPr>
                <w:color w:val="auto"/>
                <w:highlight w:val="none"/>
              </w:rPr>
              <w:t>此标的不做分项预算单价限制</w:t>
            </w:r>
          </w:p>
        </w:tc>
        <w:tc>
          <w:tcPr>
            <w:tcW w:w="480" w:type="dxa"/>
            <w:vAlign w:val="center"/>
          </w:tcPr>
          <w:p w14:paraId="45CE5F0A">
            <w:pPr>
              <w:jc w:val="center"/>
              <w:rPr>
                <w:rFonts w:asciiTheme="minorEastAsia" w:hAnsiTheme="minorEastAsia"/>
                <w:color w:val="auto"/>
                <w:highlight w:val="none"/>
              </w:rPr>
            </w:pPr>
            <w:r>
              <w:rPr>
                <w:rFonts w:hint="eastAsia" w:asciiTheme="minorEastAsia" w:hAnsiTheme="minorEastAsia"/>
                <w:color w:val="auto"/>
                <w:highlight w:val="none"/>
              </w:rPr>
              <w:t>1</w:t>
            </w:r>
          </w:p>
        </w:tc>
        <w:tc>
          <w:tcPr>
            <w:tcW w:w="600" w:type="dxa"/>
            <w:vAlign w:val="center"/>
          </w:tcPr>
          <w:p w14:paraId="3F03ED4D">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268F0228">
            <w:pPr>
              <w:jc w:val="center"/>
              <w:rPr>
                <w:rFonts w:asciiTheme="minorEastAsia" w:hAnsiTheme="minorEastAsia"/>
                <w:color w:val="auto"/>
                <w:highlight w:val="none"/>
              </w:rPr>
            </w:pPr>
            <w:r>
              <w:rPr>
                <w:color w:val="auto"/>
                <w:highlight w:val="none"/>
              </w:rPr>
              <w:t>此标的不做分项预算总价限制，其预算总价包含在项目总预算中</w:t>
            </w:r>
          </w:p>
        </w:tc>
        <w:tc>
          <w:tcPr>
            <w:tcW w:w="702" w:type="dxa"/>
            <w:vAlign w:val="center"/>
          </w:tcPr>
          <w:p w14:paraId="50F60A9B">
            <w:pPr>
              <w:jc w:val="center"/>
              <w:rPr>
                <w:rFonts w:asciiTheme="minorEastAsia" w:hAnsiTheme="minorEastAsia"/>
                <w:color w:val="auto"/>
                <w:highlight w:val="none"/>
              </w:rPr>
            </w:pPr>
            <w:r>
              <w:rPr>
                <w:rFonts w:hint="eastAsia" w:asciiTheme="minorEastAsia" w:hAnsiTheme="minorEastAsia"/>
                <w:color w:val="auto"/>
                <w:highlight w:val="none"/>
              </w:rPr>
              <w:t>否</w:t>
            </w:r>
          </w:p>
        </w:tc>
        <w:tc>
          <w:tcPr>
            <w:tcW w:w="749" w:type="dxa"/>
            <w:vAlign w:val="center"/>
          </w:tcPr>
          <w:p w14:paraId="76F804EA">
            <w:pPr>
              <w:jc w:val="center"/>
              <w:rPr>
                <w:rFonts w:asciiTheme="minorEastAsia" w:hAnsiTheme="minorEastAsia"/>
                <w:color w:val="auto"/>
                <w:highlight w:val="none"/>
              </w:rPr>
            </w:pPr>
          </w:p>
        </w:tc>
        <w:tc>
          <w:tcPr>
            <w:tcW w:w="987" w:type="dxa"/>
            <w:vAlign w:val="center"/>
          </w:tcPr>
          <w:p w14:paraId="64CB65A4">
            <w:pPr>
              <w:jc w:val="center"/>
              <w:rPr>
                <w:rFonts w:asciiTheme="minorEastAsia" w:hAnsiTheme="minorEastAsia"/>
                <w:color w:val="auto"/>
                <w:highlight w:val="none"/>
              </w:rPr>
            </w:pPr>
            <w:r>
              <w:rPr>
                <w:rFonts w:hint="eastAsia" w:asciiTheme="minorEastAsia" w:hAnsiTheme="minorEastAsia"/>
                <w:color w:val="auto"/>
                <w:highlight w:val="none"/>
              </w:rPr>
              <w:t>不面向中小企业</w:t>
            </w:r>
          </w:p>
        </w:tc>
        <w:tc>
          <w:tcPr>
            <w:tcW w:w="767" w:type="dxa"/>
            <w:vAlign w:val="center"/>
          </w:tcPr>
          <w:p w14:paraId="42E4C4BD">
            <w:pPr>
              <w:jc w:val="center"/>
              <w:rPr>
                <w:rFonts w:asciiTheme="minorEastAsia" w:hAnsiTheme="minorEastAsia"/>
                <w:color w:val="auto"/>
                <w:highlight w:val="none"/>
              </w:rPr>
            </w:pPr>
            <w:r>
              <w:rPr>
                <w:rFonts w:hint="eastAsia" w:asciiTheme="minorEastAsia" w:hAnsiTheme="minorEastAsia"/>
                <w:color w:val="auto"/>
                <w:highlight w:val="none"/>
              </w:rPr>
              <w:t>工业</w:t>
            </w:r>
          </w:p>
        </w:tc>
      </w:tr>
      <w:tr w14:paraId="0DE4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20E6E051">
            <w:pPr>
              <w:jc w:val="center"/>
              <w:rPr>
                <w:rFonts w:asciiTheme="minorEastAsia" w:hAnsiTheme="minorEastAsia"/>
                <w:color w:val="auto"/>
                <w:highlight w:val="none"/>
              </w:rPr>
            </w:pPr>
          </w:p>
        </w:tc>
        <w:tc>
          <w:tcPr>
            <w:tcW w:w="678" w:type="dxa"/>
            <w:vAlign w:val="center"/>
          </w:tcPr>
          <w:p w14:paraId="7F1E972A">
            <w:pPr>
              <w:jc w:val="center"/>
              <w:rPr>
                <w:rFonts w:asciiTheme="minorEastAsia" w:hAnsiTheme="minorEastAsia"/>
                <w:color w:val="auto"/>
                <w:highlight w:val="none"/>
              </w:rPr>
            </w:pPr>
            <w:r>
              <w:rPr>
                <w:rFonts w:hint="eastAsia" w:asciiTheme="minorEastAsia" w:hAnsiTheme="minorEastAsia"/>
                <w:color w:val="auto"/>
                <w:highlight w:val="none"/>
              </w:rPr>
              <w:t>1-2</w:t>
            </w:r>
          </w:p>
        </w:tc>
        <w:tc>
          <w:tcPr>
            <w:tcW w:w="720" w:type="dxa"/>
            <w:vAlign w:val="center"/>
          </w:tcPr>
          <w:p w14:paraId="017CB229">
            <w:pPr>
              <w:jc w:val="center"/>
              <w:rPr>
                <w:rFonts w:asciiTheme="minorEastAsia" w:hAnsiTheme="minorEastAsia"/>
                <w:color w:val="auto"/>
                <w:highlight w:val="none"/>
              </w:rPr>
            </w:pPr>
            <w:r>
              <w:rPr>
                <w:rFonts w:hint="eastAsia" w:asciiTheme="minorEastAsia" w:hAnsiTheme="minorEastAsia"/>
                <w:color w:val="auto"/>
                <w:highlight w:val="none"/>
              </w:rPr>
              <w:t>是</w:t>
            </w:r>
          </w:p>
        </w:tc>
        <w:tc>
          <w:tcPr>
            <w:tcW w:w="960" w:type="dxa"/>
            <w:vAlign w:val="center"/>
          </w:tcPr>
          <w:p w14:paraId="6473FF33">
            <w:pPr>
              <w:jc w:val="center"/>
              <w:rPr>
                <w:rFonts w:asciiTheme="minorEastAsia" w:hAnsiTheme="minorEastAsia"/>
                <w:color w:val="auto"/>
                <w:highlight w:val="none"/>
              </w:rPr>
            </w:pPr>
            <w:r>
              <w:rPr>
                <w:rFonts w:asciiTheme="minorEastAsia" w:hAnsiTheme="minorEastAsia"/>
                <w:color w:val="auto"/>
                <w:highlight w:val="none"/>
              </w:rPr>
              <w:t>A02100404 光学式分析仪器</w:t>
            </w:r>
          </w:p>
        </w:tc>
        <w:tc>
          <w:tcPr>
            <w:tcW w:w="1013" w:type="dxa"/>
            <w:vAlign w:val="center"/>
          </w:tcPr>
          <w:p w14:paraId="63B6C282">
            <w:pPr>
              <w:jc w:val="center"/>
              <w:rPr>
                <w:rFonts w:asciiTheme="minorEastAsia" w:hAnsiTheme="minorEastAsia"/>
                <w:color w:val="auto"/>
                <w:highlight w:val="none"/>
              </w:rPr>
            </w:pPr>
            <w:r>
              <w:rPr>
                <w:rFonts w:hint="eastAsia" w:asciiTheme="minorEastAsia" w:hAnsiTheme="minorEastAsia"/>
                <w:color w:val="auto"/>
                <w:highlight w:val="none"/>
              </w:rPr>
              <w:t>近红外品质测定仪</w:t>
            </w:r>
          </w:p>
        </w:tc>
        <w:tc>
          <w:tcPr>
            <w:tcW w:w="1054" w:type="dxa"/>
            <w:vAlign w:val="center"/>
          </w:tcPr>
          <w:p w14:paraId="737391AE">
            <w:pPr>
              <w:jc w:val="center"/>
              <w:rPr>
                <w:rFonts w:asciiTheme="minorEastAsia" w:hAnsiTheme="minorEastAsia"/>
                <w:color w:val="auto"/>
                <w:highlight w:val="none"/>
              </w:rPr>
            </w:pPr>
            <w:r>
              <w:rPr>
                <w:color w:val="auto"/>
                <w:highlight w:val="none"/>
              </w:rPr>
              <w:t>此标的不做分项预算单价限制</w:t>
            </w:r>
          </w:p>
        </w:tc>
        <w:tc>
          <w:tcPr>
            <w:tcW w:w="480" w:type="dxa"/>
            <w:vAlign w:val="center"/>
          </w:tcPr>
          <w:p w14:paraId="10261B5C">
            <w:pPr>
              <w:jc w:val="center"/>
              <w:rPr>
                <w:rFonts w:asciiTheme="minorEastAsia" w:hAnsiTheme="minorEastAsia"/>
                <w:color w:val="auto"/>
                <w:highlight w:val="none"/>
              </w:rPr>
            </w:pPr>
            <w:r>
              <w:rPr>
                <w:rFonts w:hint="eastAsia" w:asciiTheme="minorEastAsia" w:hAnsiTheme="minorEastAsia"/>
                <w:color w:val="auto"/>
                <w:highlight w:val="none"/>
              </w:rPr>
              <w:t>1</w:t>
            </w:r>
          </w:p>
        </w:tc>
        <w:tc>
          <w:tcPr>
            <w:tcW w:w="600" w:type="dxa"/>
            <w:vAlign w:val="center"/>
          </w:tcPr>
          <w:p w14:paraId="338602B0">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012C6749">
            <w:pPr>
              <w:jc w:val="center"/>
              <w:rPr>
                <w:rFonts w:asciiTheme="minorEastAsia" w:hAnsiTheme="minorEastAsia"/>
                <w:color w:val="auto"/>
                <w:highlight w:val="none"/>
              </w:rPr>
            </w:pPr>
            <w:r>
              <w:rPr>
                <w:color w:val="auto"/>
                <w:highlight w:val="none"/>
              </w:rPr>
              <w:t>此标的不做分项预算总价限制，其预算总价包含在项目总预算中</w:t>
            </w:r>
          </w:p>
        </w:tc>
        <w:tc>
          <w:tcPr>
            <w:tcW w:w="702" w:type="dxa"/>
            <w:vAlign w:val="center"/>
          </w:tcPr>
          <w:p w14:paraId="606823BF">
            <w:pPr>
              <w:jc w:val="center"/>
              <w:rPr>
                <w:rFonts w:asciiTheme="minorEastAsia" w:hAnsiTheme="minorEastAsia"/>
                <w:color w:val="auto"/>
                <w:highlight w:val="none"/>
              </w:rPr>
            </w:pPr>
            <w:r>
              <w:rPr>
                <w:rFonts w:hint="eastAsia" w:asciiTheme="minorEastAsia" w:hAnsiTheme="minorEastAsia"/>
                <w:color w:val="auto"/>
                <w:highlight w:val="none"/>
              </w:rPr>
              <w:t>是</w:t>
            </w:r>
          </w:p>
        </w:tc>
        <w:tc>
          <w:tcPr>
            <w:tcW w:w="749" w:type="dxa"/>
            <w:vAlign w:val="center"/>
          </w:tcPr>
          <w:p w14:paraId="67326524">
            <w:pPr>
              <w:jc w:val="center"/>
              <w:rPr>
                <w:rFonts w:asciiTheme="minorEastAsia" w:hAnsiTheme="minorEastAsia"/>
                <w:color w:val="auto"/>
                <w:highlight w:val="none"/>
              </w:rPr>
            </w:pPr>
            <w:r>
              <w:rPr>
                <w:rFonts w:hint="eastAsia" w:asciiTheme="minorEastAsia" w:hAnsiTheme="minorEastAsia"/>
                <w:color w:val="auto"/>
                <w:highlight w:val="none"/>
              </w:rPr>
              <w:t>100%</w:t>
            </w:r>
          </w:p>
        </w:tc>
        <w:tc>
          <w:tcPr>
            <w:tcW w:w="987" w:type="dxa"/>
            <w:vAlign w:val="center"/>
          </w:tcPr>
          <w:p w14:paraId="690ADC5F">
            <w:pPr>
              <w:jc w:val="center"/>
              <w:rPr>
                <w:rFonts w:asciiTheme="minorEastAsia" w:hAnsiTheme="minorEastAsia"/>
                <w:color w:val="auto"/>
                <w:highlight w:val="none"/>
              </w:rPr>
            </w:pPr>
            <w:r>
              <w:rPr>
                <w:rFonts w:hint="eastAsia" w:asciiTheme="minorEastAsia" w:hAnsiTheme="minorEastAsia"/>
                <w:color w:val="auto"/>
                <w:highlight w:val="none"/>
              </w:rPr>
              <w:t>不面向中小企业</w:t>
            </w:r>
          </w:p>
        </w:tc>
        <w:tc>
          <w:tcPr>
            <w:tcW w:w="767" w:type="dxa"/>
            <w:vAlign w:val="center"/>
          </w:tcPr>
          <w:p w14:paraId="28B95D22">
            <w:pPr>
              <w:jc w:val="center"/>
              <w:rPr>
                <w:rFonts w:asciiTheme="minorEastAsia" w:hAnsiTheme="minorEastAsia"/>
                <w:color w:val="auto"/>
                <w:highlight w:val="none"/>
              </w:rPr>
            </w:pPr>
            <w:r>
              <w:rPr>
                <w:rFonts w:hint="eastAsia" w:asciiTheme="minorEastAsia" w:hAnsiTheme="minorEastAsia"/>
                <w:color w:val="auto"/>
                <w:highlight w:val="none"/>
              </w:rPr>
              <w:t>工业</w:t>
            </w:r>
          </w:p>
        </w:tc>
      </w:tr>
      <w:tr w14:paraId="2F3D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227BB6BD">
            <w:pPr>
              <w:jc w:val="center"/>
              <w:rPr>
                <w:rFonts w:asciiTheme="minorEastAsia" w:hAnsiTheme="minorEastAsia"/>
                <w:color w:val="auto"/>
                <w:highlight w:val="none"/>
              </w:rPr>
            </w:pPr>
          </w:p>
        </w:tc>
        <w:tc>
          <w:tcPr>
            <w:tcW w:w="678" w:type="dxa"/>
            <w:vAlign w:val="center"/>
          </w:tcPr>
          <w:p w14:paraId="36EFF5ED">
            <w:pPr>
              <w:jc w:val="center"/>
              <w:rPr>
                <w:rFonts w:asciiTheme="minorEastAsia" w:hAnsiTheme="minorEastAsia"/>
                <w:color w:val="auto"/>
                <w:highlight w:val="none"/>
              </w:rPr>
            </w:pPr>
            <w:r>
              <w:rPr>
                <w:rFonts w:hint="eastAsia" w:asciiTheme="minorEastAsia" w:hAnsiTheme="minorEastAsia"/>
                <w:color w:val="auto"/>
                <w:highlight w:val="none"/>
              </w:rPr>
              <w:t>1-3</w:t>
            </w:r>
          </w:p>
        </w:tc>
        <w:tc>
          <w:tcPr>
            <w:tcW w:w="720" w:type="dxa"/>
            <w:vAlign w:val="center"/>
          </w:tcPr>
          <w:p w14:paraId="7EC3B940">
            <w:pPr>
              <w:jc w:val="center"/>
              <w:rPr>
                <w:rFonts w:hint="eastAsia" w:asciiTheme="minorEastAsia" w:hAnsiTheme="minorEastAsia" w:eastAsiaTheme="minorEastAsia"/>
                <w:color w:val="auto"/>
                <w:highlight w:val="none"/>
                <w:lang w:val="en-US" w:eastAsia="zh-CN"/>
              </w:rPr>
            </w:pPr>
            <w:r>
              <w:rPr>
                <w:rFonts w:hint="eastAsia" w:asciiTheme="minorEastAsia" w:hAnsiTheme="minorEastAsia"/>
                <w:color w:val="auto"/>
                <w:highlight w:val="none"/>
                <w:lang w:val="en-US" w:eastAsia="zh-CN"/>
              </w:rPr>
              <w:t>是</w:t>
            </w:r>
          </w:p>
        </w:tc>
        <w:tc>
          <w:tcPr>
            <w:tcW w:w="960" w:type="dxa"/>
            <w:vAlign w:val="center"/>
          </w:tcPr>
          <w:p w14:paraId="11231ACA">
            <w:pPr>
              <w:jc w:val="center"/>
              <w:rPr>
                <w:rFonts w:asciiTheme="minorEastAsia" w:hAnsiTheme="minorEastAsia"/>
                <w:color w:val="auto"/>
                <w:highlight w:val="none"/>
              </w:rPr>
            </w:pPr>
            <w:r>
              <w:rPr>
                <w:rFonts w:asciiTheme="minorEastAsia" w:hAnsiTheme="minorEastAsia"/>
                <w:color w:val="auto"/>
                <w:highlight w:val="none"/>
              </w:rPr>
              <w:t>A02100699 其他试验仪器及装置</w:t>
            </w:r>
          </w:p>
        </w:tc>
        <w:tc>
          <w:tcPr>
            <w:tcW w:w="1013" w:type="dxa"/>
            <w:vAlign w:val="center"/>
          </w:tcPr>
          <w:p w14:paraId="704523F8">
            <w:pPr>
              <w:jc w:val="center"/>
              <w:rPr>
                <w:rFonts w:asciiTheme="minorEastAsia" w:hAnsiTheme="minorEastAsia"/>
                <w:color w:val="auto"/>
                <w:highlight w:val="none"/>
              </w:rPr>
            </w:pPr>
            <w:r>
              <w:rPr>
                <w:rFonts w:hint="eastAsia" w:asciiTheme="minorEastAsia" w:hAnsiTheme="minorEastAsia"/>
                <w:color w:val="auto"/>
                <w:highlight w:val="none"/>
              </w:rPr>
              <w:t>质构仪</w:t>
            </w:r>
          </w:p>
        </w:tc>
        <w:tc>
          <w:tcPr>
            <w:tcW w:w="1054" w:type="dxa"/>
            <w:vAlign w:val="center"/>
          </w:tcPr>
          <w:p w14:paraId="25E810D3">
            <w:pPr>
              <w:jc w:val="center"/>
              <w:rPr>
                <w:rFonts w:asciiTheme="minorEastAsia" w:hAnsiTheme="minorEastAsia"/>
                <w:color w:val="auto"/>
                <w:highlight w:val="none"/>
              </w:rPr>
            </w:pPr>
            <w:r>
              <w:rPr>
                <w:color w:val="auto"/>
                <w:highlight w:val="none"/>
              </w:rPr>
              <w:t>此标的不做分项预算单价限制</w:t>
            </w:r>
          </w:p>
        </w:tc>
        <w:tc>
          <w:tcPr>
            <w:tcW w:w="480" w:type="dxa"/>
            <w:vAlign w:val="center"/>
          </w:tcPr>
          <w:p w14:paraId="123459B5">
            <w:pPr>
              <w:jc w:val="center"/>
              <w:rPr>
                <w:rFonts w:asciiTheme="minorEastAsia" w:hAnsiTheme="minorEastAsia"/>
                <w:color w:val="auto"/>
                <w:highlight w:val="none"/>
              </w:rPr>
            </w:pPr>
            <w:r>
              <w:rPr>
                <w:rFonts w:hint="eastAsia" w:asciiTheme="minorEastAsia" w:hAnsiTheme="minorEastAsia"/>
                <w:color w:val="auto"/>
                <w:highlight w:val="none"/>
              </w:rPr>
              <w:t>1</w:t>
            </w:r>
          </w:p>
        </w:tc>
        <w:tc>
          <w:tcPr>
            <w:tcW w:w="600" w:type="dxa"/>
            <w:vAlign w:val="center"/>
          </w:tcPr>
          <w:p w14:paraId="3CF0BBB7">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07333CAF">
            <w:pPr>
              <w:jc w:val="center"/>
              <w:rPr>
                <w:rFonts w:asciiTheme="minorEastAsia" w:hAnsiTheme="minorEastAsia"/>
                <w:color w:val="auto"/>
                <w:highlight w:val="none"/>
              </w:rPr>
            </w:pPr>
            <w:r>
              <w:rPr>
                <w:color w:val="auto"/>
                <w:highlight w:val="none"/>
              </w:rPr>
              <w:t>此标的不做分项预算总价限制，其预算总价包含在项目总预算中</w:t>
            </w:r>
          </w:p>
        </w:tc>
        <w:tc>
          <w:tcPr>
            <w:tcW w:w="702" w:type="dxa"/>
            <w:vAlign w:val="center"/>
          </w:tcPr>
          <w:p w14:paraId="685ED830">
            <w:pPr>
              <w:jc w:val="center"/>
              <w:rPr>
                <w:rFonts w:hint="eastAsia" w:asciiTheme="minorEastAsia" w:hAnsiTheme="minorEastAsia" w:eastAsiaTheme="minorEastAsia"/>
                <w:color w:val="auto"/>
                <w:highlight w:val="none"/>
                <w:lang w:val="en-US" w:eastAsia="zh-CN"/>
              </w:rPr>
            </w:pPr>
            <w:r>
              <w:rPr>
                <w:rFonts w:hint="eastAsia"/>
                <w:color w:val="auto"/>
                <w:highlight w:val="none"/>
                <w:lang w:val="en-US" w:eastAsia="zh-CN"/>
              </w:rPr>
              <w:t>是</w:t>
            </w:r>
          </w:p>
        </w:tc>
        <w:tc>
          <w:tcPr>
            <w:tcW w:w="749" w:type="dxa"/>
            <w:vAlign w:val="center"/>
          </w:tcPr>
          <w:p w14:paraId="35F5932B">
            <w:pPr>
              <w:jc w:val="center"/>
              <w:rPr>
                <w:rFonts w:asciiTheme="minorEastAsia" w:hAnsiTheme="minorEastAsia"/>
                <w:color w:val="auto"/>
                <w:highlight w:val="none"/>
              </w:rPr>
            </w:pPr>
            <w:r>
              <w:rPr>
                <w:rFonts w:hint="eastAsia" w:asciiTheme="minorEastAsia" w:hAnsiTheme="minorEastAsia"/>
                <w:color w:val="auto"/>
              </w:rPr>
              <w:t>100%</w:t>
            </w:r>
          </w:p>
        </w:tc>
        <w:tc>
          <w:tcPr>
            <w:tcW w:w="987" w:type="dxa"/>
            <w:vAlign w:val="center"/>
          </w:tcPr>
          <w:p w14:paraId="0CD8D58A">
            <w:pPr>
              <w:jc w:val="center"/>
              <w:rPr>
                <w:rFonts w:asciiTheme="minorEastAsia" w:hAnsiTheme="minorEastAsia"/>
                <w:color w:val="auto"/>
                <w:highlight w:val="none"/>
              </w:rPr>
            </w:pPr>
            <w:r>
              <w:rPr>
                <w:rFonts w:hint="eastAsia" w:asciiTheme="minorEastAsia" w:hAnsiTheme="minorEastAsia"/>
                <w:color w:val="auto"/>
                <w:highlight w:val="none"/>
              </w:rPr>
              <w:t>不面向中小企业</w:t>
            </w:r>
          </w:p>
        </w:tc>
        <w:tc>
          <w:tcPr>
            <w:tcW w:w="767" w:type="dxa"/>
            <w:vAlign w:val="center"/>
          </w:tcPr>
          <w:p w14:paraId="1A98C5E2">
            <w:pPr>
              <w:jc w:val="center"/>
              <w:rPr>
                <w:rFonts w:asciiTheme="minorEastAsia" w:hAnsiTheme="minorEastAsia"/>
                <w:color w:val="auto"/>
                <w:highlight w:val="none"/>
              </w:rPr>
            </w:pPr>
            <w:r>
              <w:rPr>
                <w:rFonts w:hint="eastAsia" w:asciiTheme="minorEastAsia" w:hAnsiTheme="minorEastAsia"/>
                <w:color w:val="auto"/>
                <w:highlight w:val="none"/>
              </w:rPr>
              <w:t>工业</w:t>
            </w:r>
          </w:p>
        </w:tc>
      </w:tr>
      <w:tr w14:paraId="29DD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29F70267">
            <w:pPr>
              <w:jc w:val="center"/>
              <w:rPr>
                <w:rFonts w:asciiTheme="minorEastAsia" w:hAnsiTheme="minorEastAsia"/>
                <w:color w:val="auto"/>
              </w:rPr>
            </w:pPr>
          </w:p>
        </w:tc>
        <w:tc>
          <w:tcPr>
            <w:tcW w:w="678" w:type="dxa"/>
            <w:vAlign w:val="center"/>
          </w:tcPr>
          <w:p w14:paraId="579ECCCE">
            <w:pPr>
              <w:jc w:val="center"/>
              <w:rPr>
                <w:rFonts w:asciiTheme="minorEastAsia" w:hAnsiTheme="minorEastAsia"/>
                <w:color w:val="auto"/>
              </w:rPr>
            </w:pPr>
            <w:r>
              <w:rPr>
                <w:rFonts w:hint="eastAsia" w:asciiTheme="minorEastAsia" w:hAnsiTheme="minorEastAsia"/>
                <w:color w:val="auto"/>
              </w:rPr>
              <w:t>1-4</w:t>
            </w:r>
          </w:p>
        </w:tc>
        <w:tc>
          <w:tcPr>
            <w:tcW w:w="720" w:type="dxa"/>
            <w:vAlign w:val="center"/>
          </w:tcPr>
          <w:p w14:paraId="1ACB349E">
            <w:pPr>
              <w:jc w:val="center"/>
              <w:rPr>
                <w:rFonts w:hint="eastAsia" w:asciiTheme="minorEastAsia" w:hAnsiTheme="minorEastAsia" w:eastAsiaTheme="minorEastAsia"/>
                <w:color w:val="auto"/>
                <w:lang w:val="en-US" w:eastAsia="zh-CN"/>
              </w:rPr>
            </w:pPr>
            <w:r>
              <w:rPr>
                <w:rFonts w:hint="eastAsia" w:asciiTheme="minorEastAsia" w:hAnsiTheme="minorEastAsia"/>
                <w:color w:val="auto"/>
                <w:lang w:val="en-US" w:eastAsia="zh-CN"/>
              </w:rPr>
              <w:t>是</w:t>
            </w:r>
          </w:p>
        </w:tc>
        <w:tc>
          <w:tcPr>
            <w:tcW w:w="960" w:type="dxa"/>
            <w:vAlign w:val="center"/>
          </w:tcPr>
          <w:p w14:paraId="54BA524A">
            <w:pPr>
              <w:jc w:val="center"/>
              <w:rPr>
                <w:rFonts w:asciiTheme="minorEastAsia" w:hAnsiTheme="minorEastAsia"/>
                <w:color w:val="auto"/>
              </w:rPr>
            </w:pPr>
            <w:r>
              <w:rPr>
                <w:rFonts w:asciiTheme="minorEastAsia" w:hAnsiTheme="minorEastAsia"/>
                <w:color w:val="auto"/>
              </w:rPr>
              <w:t>A02100699 其他试验仪器及装置</w:t>
            </w:r>
          </w:p>
        </w:tc>
        <w:tc>
          <w:tcPr>
            <w:tcW w:w="1013" w:type="dxa"/>
            <w:vAlign w:val="center"/>
          </w:tcPr>
          <w:p w14:paraId="53F7982C">
            <w:pPr>
              <w:jc w:val="center"/>
              <w:rPr>
                <w:rFonts w:asciiTheme="minorEastAsia" w:hAnsiTheme="minorEastAsia"/>
                <w:color w:val="auto"/>
              </w:rPr>
            </w:pPr>
            <w:r>
              <w:rPr>
                <w:rFonts w:hint="eastAsia" w:asciiTheme="minorEastAsia" w:hAnsiTheme="minorEastAsia"/>
                <w:color w:val="auto"/>
              </w:rPr>
              <w:t>盐酸水解</w:t>
            </w:r>
            <w:r>
              <w:rPr>
                <w:rFonts w:hint="eastAsia" w:asciiTheme="minorEastAsia" w:hAnsiTheme="minorEastAsia"/>
                <w:color w:val="auto"/>
                <w:lang w:val="en-US" w:eastAsia="zh-CN"/>
              </w:rPr>
              <w:t>仪</w:t>
            </w:r>
            <w:r>
              <w:rPr>
                <w:rFonts w:hint="eastAsia" w:asciiTheme="minorEastAsia" w:hAnsiTheme="minorEastAsia"/>
                <w:color w:val="auto"/>
              </w:rPr>
              <w:t xml:space="preserve"> </w:t>
            </w:r>
          </w:p>
        </w:tc>
        <w:tc>
          <w:tcPr>
            <w:tcW w:w="1054" w:type="dxa"/>
            <w:vAlign w:val="center"/>
          </w:tcPr>
          <w:p w14:paraId="3C909803">
            <w:pPr>
              <w:jc w:val="center"/>
              <w:rPr>
                <w:color w:val="auto"/>
              </w:rPr>
            </w:pPr>
            <w:r>
              <w:rPr>
                <w:color w:val="auto"/>
              </w:rPr>
              <w:t>此标的不做分项预算单价限制</w:t>
            </w:r>
          </w:p>
        </w:tc>
        <w:tc>
          <w:tcPr>
            <w:tcW w:w="480" w:type="dxa"/>
            <w:vAlign w:val="center"/>
          </w:tcPr>
          <w:p w14:paraId="3DB0C560">
            <w:pPr>
              <w:jc w:val="center"/>
              <w:rPr>
                <w:rFonts w:asciiTheme="minorEastAsia" w:hAnsiTheme="minorEastAsia"/>
                <w:color w:val="auto"/>
              </w:rPr>
            </w:pPr>
            <w:r>
              <w:rPr>
                <w:rFonts w:hint="eastAsia" w:asciiTheme="minorEastAsia" w:hAnsiTheme="minorEastAsia"/>
                <w:color w:val="auto"/>
              </w:rPr>
              <w:t>1</w:t>
            </w:r>
          </w:p>
        </w:tc>
        <w:tc>
          <w:tcPr>
            <w:tcW w:w="600" w:type="dxa"/>
            <w:vAlign w:val="center"/>
          </w:tcPr>
          <w:p w14:paraId="30C4C322">
            <w:pPr>
              <w:jc w:val="center"/>
              <w:rPr>
                <w:rFonts w:hint="eastAsia" w:asciiTheme="minorEastAsia" w:hAnsiTheme="minorEastAsia" w:eastAsiaTheme="minorEastAsia"/>
                <w:color w:val="auto"/>
                <w:highlight w:val="none"/>
                <w:lang w:eastAsia="zh-CN"/>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5CFD5C71">
            <w:pPr>
              <w:jc w:val="center"/>
              <w:rPr>
                <w:rFonts w:asciiTheme="minorEastAsia" w:hAnsiTheme="minorEastAsia"/>
                <w:color w:val="auto"/>
              </w:rPr>
            </w:pPr>
            <w:r>
              <w:rPr>
                <w:color w:val="auto"/>
              </w:rPr>
              <w:t>此标的不做分项预算总价限制，其预算总价包含在项目总预算中</w:t>
            </w:r>
          </w:p>
        </w:tc>
        <w:tc>
          <w:tcPr>
            <w:tcW w:w="702" w:type="dxa"/>
            <w:vAlign w:val="center"/>
          </w:tcPr>
          <w:p w14:paraId="22D0D0BC">
            <w:pPr>
              <w:jc w:val="center"/>
              <w:rPr>
                <w:rFonts w:asciiTheme="minorEastAsia" w:hAnsiTheme="minorEastAsia"/>
                <w:color w:val="auto"/>
              </w:rPr>
            </w:pPr>
            <w:r>
              <w:rPr>
                <w:rFonts w:hint="eastAsia" w:asciiTheme="minorEastAsia" w:hAnsiTheme="minorEastAsia"/>
                <w:color w:val="auto"/>
              </w:rPr>
              <w:t>是</w:t>
            </w:r>
          </w:p>
        </w:tc>
        <w:tc>
          <w:tcPr>
            <w:tcW w:w="749" w:type="dxa"/>
            <w:vAlign w:val="center"/>
          </w:tcPr>
          <w:p w14:paraId="008C2C13">
            <w:pPr>
              <w:jc w:val="center"/>
              <w:rPr>
                <w:rFonts w:asciiTheme="minorEastAsia" w:hAnsiTheme="minorEastAsia"/>
                <w:color w:val="auto"/>
              </w:rPr>
            </w:pPr>
            <w:r>
              <w:rPr>
                <w:rFonts w:hint="eastAsia" w:asciiTheme="minorEastAsia" w:hAnsiTheme="minorEastAsia"/>
                <w:color w:val="auto"/>
              </w:rPr>
              <w:t>100%</w:t>
            </w:r>
          </w:p>
        </w:tc>
        <w:tc>
          <w:tcPr>
            <w:tcW w:w="987" w:type="dxa"/>
            <w:vAlign w:val="center"/>
          </w:tcPr>
          <w:p w14:paraId="7AA8F134">
            <w:pPr>
              <w:jc w:val="center"/>
              <w:rPr>
                <w:rFonts w:asciiTheme="minorEastAsia" w:hAnsiTheme="minorEastAsia"/>
                <w:color w:val="auto"/>
              </w:rPr>
            </w:pPr>
            <w:r>
              <w:rPr>
                <w:rFonts w:hint="eastAsia" w:asciiTheme="minorEastAsia" w:hAnsiTheme="minorEastAsia"/>
                <w:color w:val="auto"/>
              </w:rPr>
              <w:t>不面向中小企业</w:t>
            </w:r>
          </w:p>
        </w:tc>
        <w:tc>
          <w:tcPr>
            <w:tcW w:w="767" w:type="dxa"/>
            <w:vAlign w:val="center"/>
          </w:tcPr>
          <w:p w14:paraId="697C2F4D">
            <w:pPr>
              <w:jc w:val="center"/>
              <w:rPr>
                <w:rFonts w:asciiTheme="minorEastAsia" w:hAnsiTheme="minorEastAsia"/>
                <w:color w:val="auto"/>
              </w:rPr>
            </w:pPr>
            <w:r>
              <w:rPr>
                <w:rFonts w:hint="eastAsia" w:asciiTheme="minorEastAsia" w:hAnsiTheme="minorEastAsia"/>
                <w:color w:val="auto"/>
              </w:rPr>
              <w:t>工业</w:t>
            </w:r>
          </w:p>
        </w:tc>
      </w:tr>
      <w:tr w14:paraId="1772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23F8968B">
            <w:pPr>
              <w:jc w:val="center"/>
              <w:rPr>
                <w:rFonts w:asciiTheme="minorEastAsia" w:hAnsiTheme="minorEastAsia"/>
                <w:color w:val="auto"/>
              </w:rPr>
            </w:pPr>
          </w:p>
        </w:tc>
        <w:tc>
          <w:tcPr>
            <w:tcW w:w="678" w:type="dxa"/>
            <w:vAlign w:val="center"/>
          </w:tcPr>
          <w:p w14:paraId="0980D334">
            <w:pPr>
              <w:jc w:val="center"/>
              <w:rPr>
                <w:rFonts w:asciiTheme="minorEastAsia" w:hAnsiTheme="minorEastAsia"/>
                <w:color w:val="auto"/>
              </w:rPr>
            </w:pPr>
            <w:r>
              <w:rPr>
                <w:rFonts w:hint="eastAsia" w:asciiTheme="minorEastAsia" w:hAnsiTheme="minorEastAsia"/>
                <w:color w:val="auto"/>
              </w:rPr>
              <w:t>1-5</w:t>
            </w:r>
          </w:p>
        </w:tc>
        <w:tc>
          <w:tcPr>
            <w:tcW w:w="720" w:type="dxa"/>
            <w:vAlign w:val="center"/>
          </w:tcPr>
          <w:p w14:paraId="0B936542">
            <w:pPr>
              <w:jc w:val="center"/>
              <w:rPr>
                <w:rFonts w:hint="eastAsia" w:asciiTheme="minorEastAsia" w:hAnsiTheme="minorEastAsia" w:eastAsiaTheme="minorEastAsia"/>
                <w:color w:val="auto"/>
                <w:lang w:val="en-US" w:eastAsia="zh-CN"/>
              </w:rPr>
            </w:pPr>
            <w:r>
              <w:rPr>
                <w:rFonts w:hint="eastAsia" w:asciiTheme="minorEastAsia" w:hAnsiTheme="minorEastAsia"/>
                <w:color w:val="auto"/>
                <w:lang w:val="en-US" w:eastAsia="zh-CN"/>
              </w:rPr>
              <w:t>是</w:t>
            </w:r>
          </w:p>
        </w:tc>
        <w:tc>
          <w:tcPr>
            <w:tcW w:w="960" w:type="dxa"/>
            <w:vAlign w:val="center"/>
          </w:tcPr>
          <w:p w14:paraId="1FB8B9BB">
            <w:pPr>
              <w:jc w:val="center"/>
              <w:rPr>
                <w:rFonts w:asciiTheme="minorEastAsia" w:hAnsiTheme="minorEastAsia"/>
                <w:color w:val="auto"/>
              </w:rPr>
            </w:pPr>
            <w:r>
              <w:rPr>
                <w:rFonts w:asciiTheme="minorEastAsia" w:hAnsiTheme="minorEastAsia"/>
                <w:color w:val="auto"/>
              </w:rPr>
              <w:t>A02100499 其他分析仪器</w:t>
            </w:r>
          </w:p>
        </w:tc>
        <w:tc>
          <w:tcPr>
            <w:tcW w:w="1013" w:type="dxa"/>
            <w:vAlign w:val="center"/>
          </w:tcPr>
          <w:p w14:paraId="577F119C">
            <w:pPr>
              <w:jc w:val="center"/>
              <w:rPr>
                <w:rFonts w:asciiTheme="minorEastAsia" w:hAnsiTheme="minorEastAsia"/>
                <w:color w:val="auto"/>
              </w:rPr>
            </w:pPr>
            <w:r>
              <w:rPr>
                <w:rFonts w:hint="eastAsia" w:asciiTheme="minorEastAsia" w:hAnsiTheme="minorEastAsia"/>
                <w:color w:val="auto"/>
                <w:szCs w:val="21"/>
              </w:rPr>
              <w:t>全自动形态碳总氮分析仪</w:t>
            </w:r>
          </w:p>
        </w:tc>
        <w:tc>
          <w:tcPr>
            <w:tcW w:w="1054" w:type="dxa"/>
            <w:vAlign w:val="center"/>
          </w:tcPr>
          <w:p w14:paraId="02F905D0">
            <w:pPr>
              <w:jc w:val="center"/>
              <w:rPr>
                <w:color w:val="auto"/>
              </w:rPr>
            </w:pPr>
            <w:r>
              <w:rPr>
                <w:color w:val="auto"/>
              </w:rPr>
              <w:t>此标的不做分项预算单价限制</w:t>
            </w:r>
          </w:p>
        </w:tc>
        <w:tc>
          <w:tcPr>
            <w:tcW w:w="480" w:type="dxa"/>
            <w:vAlign w:val="center"/>
          </w:tcPr>
          <w:p w14:paraId="02B187CD">
            <w:pPr>
              <w:jc w:val="center"/>
              <w:rPr>
                <w:rFonts w:asciiTheme="minorEastAsia" w:hAnsiTheme="minorEastAsia"/>
                <w:color w:val="auto"/>
              </w:rPr>
            </w:pPr>
            <w:r>
              <w:rPr>
                <w:rFonts w:hint="eastAsia" w:asciiTheme="minorEastAsia" w:hAnsiTheme="minorEastAsia"/>
                <w:color w:val="auto"/>
              </w:rPr>
              <w:t>1</w:t>
            </w:r>
          </w:p>
        </w:tc>
        <w:tc>
          <w:tcPr>
            <w:tcW w:w="600" w:type="dxa"/>
            <w:vAlign w:val="center"/>
          </w:tcPr>
          <w:p w14:paraId="30009BB3">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5804EA07">
            <w:pPr>
              <w:jc w:val="center"/>
              <w:rPr>
                <w:rFonts w:asciiTheme="minorEastAsia" w:hAnsiTheme="minorEastAsia"/>
                <w:color w:val="auto"/>
              </w:rPr>
            </w:pPr>
            <w:r>
              <w:rPr>
                <w:color w:val="auto"/>
              </w:rPr>
              <w:t>此标的不做分项预算总价限制，其预算总价包含在项目总预算中</w:t>
            </w:r>
          </w:p>
        </w:tc>
        <w:tc>
          <w:tcPr>
            <w:tcW w:w="702" w:type="dxa"/>
            <w:vAlign w:val="center"/>
          </w:tcPr>
          <w:p w14:paraId="3CBCED5F">
            <w:pPr>
              <w:jc w:val="center"/>
              <w:rPr>
                <w:rFonts w:asciiTheme="minorEastAsia" w:hAnsiTheme="minorEastAsia"/>
                <w:color w:val="auto"/>
              </w:rPr>
            </w:pPr>
            <w:r>
              <w:rPr>
                <w:rFonts w:hint="eastAsia" w:asciiTheme="minorEastAsia" w:hAnsiTheme="minorEastAsia"/>
                <w:color w:val="auto"/>
              </w:rPr>
              <w:t>否</w:t>
            </w:r>
          </w:p>
        </w:tc>
        <w:tc>
          <w:tcPr>
            <w:tcW w:w="749" w:type="dxa"/>
            <w:vAlign w:val="center"/>
          </w:tcPr>
          <w:p w14:paraId="119AA8CF">
            <w:pPr>
              <w:jc w:val="center"/>
              <w:rPr>
                <w:rFonts w:asciiTheme="minorEastAsia" w:hAnsiTheme="minorEastAsia"/>
                <w:color w:val="auto"/>
              </w:rPr>
            </w:pPr>
          </w:p>
        </w:tc>
        <w:tc>
          <w:tcPr>
            <w:tcW w:w="987" w:type="dxa"/>
            <w:vAlign w:val="center"/>
          </w:tcPr>
          <w:p w14:paraId="65E1402B">
            <w:pPr>
              <w:jc w:val="center"/>
              <w:rPr>
                <w:rFonts w:asciiTheme="minorEastAsia" w:hAnsiTheme="minorEastAsia"/>
                <w:color w:val="auto"/>
              </w:rPr>
            </w:pPr>
            <w:r>
              <w:rPr>
                <w:rFonts w:hint="eastAsia" w:asciiTheme="minorEastAsia" w:hAnsiTheme="minorEastAsia"/>
                <w:color w:val="auto"/>
              </w:rPr>
              <w:t>不面向中小企业</w:t>
            </w:r>
          </w:p>
        </w:tc>
        <w:tc>
          <w:tcPr>
            <w:tcW w:w="767" w:type="dxa"/>
            <w:vAlign w:val="center"/>
          </w:tcPr>
          <w:p w14:paraId="19FE1906">
            <w:pPr>
              <w:jc w:val="center"/>
              <w:rPr>
                <w:rFonts w:asciiTheme="minorEastAsia" w:hAnsiTheme="minorEastAsia"/>
                <w:color w:val="auto"/>
              </w:rPr>
            </w:pPr>
            <w:r>
              <w:rPr>
                <w:rFonts w:hint="eastAsia" w:asciiTheme="minorEastAsia" w:hAnsiTheme="minorEastAsia"/>
                <w:color w:val="auto"/>
              </w:rPr>
              <w:t>工业</w:t>
            </w:r>
          </w:p>
        </w:tc>
      </w:tr>
      <w:tr w14:paraId="0D89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421444E7">
            <w:pPr>
              <w:jc w:val="center"/>
              <w:rPr>
                <w:rFonts w:asciiTheme="minorEastAsia" w:hAnsiTheme="minorEastAsia"/>
                <w:color w:val="auto"/>
              </w:rPr>
            </w:pPr>
          </w:p>
        </w:tc>
        <w:tc>
          <w:tcPr>
            <w:tcW w:w="678" w:type="dxa"/>
            <w:vAlign w:val="center"/>
          </w:tcPr>
          <w:p w14:paraId="48883FA5">
            <w:pPr>
              <w:jc w:val="center"/>
              <w:rPr>
                <w:rFonts w:asciiTheme="minorEastAsia" w:hAnsiTheme="minorEastAsia"/>
                <w:color w:val="auto"/>
              </w:rPr>
            </w:pPr>
            <w:r>
              <w:rPr>
                <w:rFonts w:hint="eastAsia" w:asciiTheme="minorEastAsia" w:hAnsiTheme="minorEastAsia"/>
                <w:color w:val="auto"/>
              </w:rPr>
              <w:t>1-6</w:t>
            </w:r>
          </w:p>
        </w:tc>
        <w:tc>
          <w:tcPr>
            <w:tcW w:w="720" w:type="dxa"/>
            <w:vAlign w:val="center"/>
          </w:tcPr>
          <w:p w14:paraId="3CE5C8BE">
            <w:pPr>
              <w:jc w:val="center"/>
              <w:rPr>
                <w:rFonts w:hint="eastAsia" w:asciiTheme="minorEastAsia" w:hAnsiTheme="minorEastAsia" w:eastAsiaTheme="minorEastAsia"/>
                <w:color w:val="auto"/>
                <w:lang w:val="en-US" w:eastAsia="zh-CN"/>
              </w:rPr>
            </w:pPr>
            <w:r>
              <w:rPr>
                <w:rFonts w:hint="eastAsia" w:asciiTheme="minorEastAsia" w:hAnsiTheme="minorEastAsia"/>
                <w:color w:val="auto"/>
                <w:lang w:val="en-US" w:eastAsia="zh-CN"/>
              </w:rPr>
              <w:t>是</w:t>
            </w:r>
          </w:p>
        </w:tc>
        <w:tc>
          <w:tcPr>
            <w:tcW w:w="960" w:type="dxa"/>
            <w:vAlign w:val="center"/>
          </w:tcPr>
          <w:p w14:paraId="05B2434E">
            <w:pPr>
              <w:jc w:val="center"/>
              <w:rPr>
                <w:rFonts w:asciiTheme="minorEastAsia" w:hAnsiTheme="minorEastAsia"/>
                <w:color w:val="auto"/>
              </w:rPr>
            </w:pPr>
            <w:r>
              <w:rPr>
                <w:rFonts w:asciiTheme="minorEastAsia" w:hAnsiTheme="minorEastAsia"/>
                <w:color w:val="auto"/>
              </w:rPr>
              <w:t>A02100499 其他分析仪器</w:t>
            </w:r>
          </w:p>
        </w:tc>
        <w:tc>
          <w:tcPr>
            <w:tcW w:w="1013" w:type="dxa"/>
            <w:vAlign w:val="center"/>
          </w:tcPr>
          <w:p w14:paraId="5396ECC6">
            <w:pPr>
              <w:jc w:val="center"/>
              <w:rPr>
                <w:rFonts w:asciiTheme="minorEastAsia" w:hAnsiTheme="minorEastAsia"/>
                <w:color w:val="auto"/>
              </w:rPr>
            </w:pPr>
            <w:r>
              <w:rPr>
                <w:rFonts w:hint="eastAsia" w:asciiTheme="minorEastAsia" w:hAnsiTheme="minorEastAsia"/>
                <w:color w:val="auto"/>
              </w:rPr>
              <w:t>电子鼻</w:t>
            </w:r>
          </w:p>
        </w:tc>
        <w:tc>
          <w:tcPr>
            <w:tcW w:w="1054" w:type="dxa"/>
            <w:vAlign w:val="center"/>
          </w:tcPr>
          <w:p w14:paraId="6888F009">
            <w:pPr>
              <w:jc w:val="center"/>
              <w:rPr>
                <w:color w:val="auto"/>
              </w:rPr>
            </w:pPr>
            <w:r>
              <w:rPr>
                <w:color w:val="auto"/>
              </w:rPr>
              <w:t>此标的不做分项预算单价限制</w:t>
            </w:r>
          </w:p>
        </w:tc>
        <w:tc>
          <w:tcPr>
            <w:tcW w:w="480" w:type="dxa"/>
            <w:vAlign w:val="center"/>
          </w:tcPr>
          <w:p w14:paraId="17DB574F">
            <w:pPr>
              <w:jc w:val="center"/>
              <w:rPr>
                <w:rFonts w:asciiTheme="minorEastAsia" w:hAnsiTheme="minorEastAsia"/>
                <w:color w:val="auto"/>
              </w:rPr>
            </w:pPr>
            <w:r>
              <w:rPr>
                <w:rFonts w:hint="eastAsia" w:asciiTheme="minorEastAsia" w:hAnsiTheme="minorEastAsia"/>
                <w:color w:val="auto"/>
              </w:rPr>
              <w:t>1</w:t>
            </w:r>
          </w:p>
        </w:tc>
        <w:tc>
          <w:tcPr>
            <w:tcW w:w="600" w:type="dxa"/>
            <w:vAlign w:val="center"/>
          </w:tcPr>
          <w:p w14:paraId="39DF005B">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15F93058">
            <w:pPr>
              <w:jc w:val="center"/>
              <w:rPr>
                <w:rFonts w:asciiTheme="minorEastAsia" w:hAnsiTheme="minorEastAsia"/>
                <w:color w:val="auto"/>
              </w:rPr>
            </w:pPr>
            <w:r>
              <w:rPr>
                <w:color w:val="auto"/>
              </w:rPr>
              <w:t>此标的不做分项预算总价限制，其预算总价包含在项目总预算中</w:t>
            </w:r>
          </w:p>
        </w:tc>
        <w:tc>
          <w:tcPr>
            <w:tcW w:w="702" w:type="dxa"/>
            <w:vAlign w:val="center"/>
          </w:tcPr>
          <w:p w14:paraId="7268B1D9">
            <w:pPr>
              <w:jc w:val="center"/>
              <w:rPr>
                <w:rFonts w:asciiTheme="minorEastAsia" w:hAnsiTheme="minorEastAsia"/>
                <w:color w:val="auto"/>
              </w:rPr>
            </w:pPr>
            <w:r>
              <w:rPr>
                <w:rFonts w:hint="eastAsia" w:asciiTheme="minorEastAsia" w:hAnsiTheme="minorEastAsia"/>
                <w:color w:val="auto"/>
              </w:rPr>
              <w:t>是</w:t>
            </w:r>
          </w:p>
        </w:tc>
        <w:tc>
          <w:tcPr>
            <w:tcW w:w="749" w:type="dxa"/>
            <w:vAlign w:val="center"/>
          </w:tcPr>
          <w:p w14:paraId="14B911ED">
            <w:pPr>
              <w:jc w:val="center"/>
              <w:rPr>
                <w:rFonts w:asciiTheme="minorEastAsia" w:hAnsiTheme="minorEastAsia"/>
                <w:color w:val="auto"/>
              </w:rPr>
            </w:pPr>
            <w:r>
              <w:rPr>
                <w:rFonts w:hint="eastAsia" w:asciiTheme="minorEastAsia" w:hAnsiTheme="minorEastAsia"/>
                <w:color w:val="auto"/>
              </w:rPr>
              <w:t>100%</w:t>
            </w:r>
          </w:p>
        </w:tc>
        <w:tc>
          <w:tcPr>
            <w:tcW w:w="987" w:type="dxa"/>
            <w:vAlign w:val="center"/>
          </w:tcPr>
          <w:p w14:paraId="507A71B0">
            <w:pPr>
              <w:jc w:val="center"/>
              <w:rPr>
                <w:rFonts w:asciiTheme="minorEastAsia" w:hAnsiTheme="minorEastAsia"/>
                <w:color w:val="auto"/>
              </w:rPr>
            </w:pPr>
            <w:r>
              <w:rPr>
                <w:rFonts w:hint="eastAsia" w:asciiTheme="minorEastAsia" w:hAnsiTheme="minorEastAsia"/>
                <w:color w:val="auto"/>
              </w:rPr>
              <w:t>不面向中小企业</w:t>
            </w:r>
          </w:p>
        </w:tc>
        <w:tc>
          <w:tcPr>
            <w:tcW w:w="767" w:type="dxa"/>
            <w:vAlign w:val="center"/>
          </w:tcPr>
          <w:p w14:paraId="73582BD8">
            <w:pPr>
              <w:jc w:val="center"/>
              <w:rPr>
                <w:rFonts w:asciiTheme="minorEastAsia" w:hAnsiTheme="minorEastAsia"/>
                <w:color w:val="auto"/>
              </w:rPr>
            </w:pPr>
            <w:r>
              <w:rPr>
                <w:rFonts w:hint="eastAsia" w:asciiTheme="minorEastAsia" w:hAnsiTheme="minorEastAsia"/>
                <w:color w:val="auto"/>
              </w:rPr>
              <w:t>工业</w:t>
            </w:r>
          </w:p>
        </w:tc>
      </w:tr>
      <w:tr w14:paraId="1D70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06" w:type="dxa"/>
            <w:vAlign w:val="center"/>
          </w:tcPr>
          <w:p w14:paraId="0C66FE86">
            <w:pPr>
              <w:jc w:val="center"/>
              <w:rPr>
                <w:rFonts w:asciiTheme="minorEastAsia" w:hAnsiTheme="minorEastAsia"/>
                <w:color w:val="auto"/>
              </w:rPr>
            </w:pPr>
          </w:p>
        </w:tc>
        <w:tc>
          <w:tcPr>
            <w:tcW w:w="678" w:type="dxa"/>
            <w:vAlign w:val="center"/>
          </w:tcPr>
          <w:p w14:paraId="3CC71D27">
            <w:pPr>
              <w:jc w:val="center"/>
              <w:rPr>
                <w:rFonts w:asciiTheme="minorEastAsia" w:hAnsiTheme="minorEastAsia"/>
                <w:color w:val="auto"/>
              </w:rPr>
            </w:pPr>
            <w:r>
              <w:rPr>
                <w:rFonts w:hint="eastAsia" w:asciiTheme="minorEastAsia" w:hAnsiTheme="minorEastAsia"/>
                <w:color w:val="auto"/>
              </w:rPr>
              <w:t>1-7</w:t>
            </w:r>
          </w:p>
        </w:tc>
        <w:tc>
          <w:tcPr>
            <w:tcW w:w="720" w:type="dxa"/>
            <w:vAlign w:val="center"/>
          </w:tcPr>
          <w:p w14:paraId="4F66AD1D">
            <w:pPr>
              <w:jc w:val="center"/>
              <w:rPr>
                <w:rFonts w:hint="eastAsia" w:asciiTheme="minorEastAsia" w:hAnsiTheme="minorEastAsia" w:eastAsiaTheme="minorEastAsia"/>
                <w:color w:val="auto"/>
                <w:lang w:val="en-US" w:eastAsia="zh-CN"/>
              </w:rPr>
            </w:pPr>
            <w:r>
              <w:rPr>
                <w:rFonts w:hint="eastAsia" w:asciiTheme="minorEastAsia" w:hAnsiTheme="minorEastAsia"/>
                <w:color w:val="auto"/>
                <w:lang w:val="en-US" w:eastAsia="zh-CN"/>
              </w:rPr>
              <w:t>是</w:t>
            </w:r>
          </w:p>
        </w:tc>
        <w:tc>
          <w:tcPr>
            <w:tcW w:w="960" w:type="dxa"/>
            <w:vAlign w:val="center"/>
          </w:tcPr>
          <w:p w14:paraId="2B81C938">
            <w:pPr>
              <w:jc w:val="center"/>
              <w:rPr>
                <w:rFonts w:asciiTheme="minorEastAsia" w:hAnsiTheme="minorEastAsia"/>
                <w:color w:val="auto"/>
              </w:rPr>
            </w:pPr>
            <w:r>
              <w:rPr>
                <w:rFonts w:asciiTheme="minorEastAsia" w:hAnsiTheme="minorEastAsia"/>
                <w:color w:val="auto"/>
              </w:rPr>
              <w:t>A02100415 环境监测仪器及综合分析装置</w:t>
            </w:r>
          </w:p>
        </w:tc>
        <w:tc>
          <w:tcPr>
            <w:tcW w:w="1013" w:type="dxa"/>
            <w:vAlign w:val="center"/>
          </w:tcPr>
          <w:p w14:paraId="5AB43A36">
            <w:pPr>
              <w:jc w:val="center"/>
              <w:rPr>
                <w:rFonts w:asciiTheme="minorEastAsia" w:hAnsiTheme="minorEastAsia"/>
                <w:color w:val="auto"/>
              </w:rPr>
            </w:pPr>
            <w:r>
              <w:rPr>
                <w:rFonts w:hint="eastAsia" w:asciiTheme="minorEastAsia" w:hAnsiTheme="minorEastAsia"/>
                <w:color w:val="auto"/>
              </w:rPr>
              <w:t xml:space="preserve">在线水质自动监测仪 </w:t>
            </w:r>
          </w:p>
        </w:tc>
        <w:tc>
          <w:tcPr>
            <w:tcW w:w="1054" w:type="dxa"/>
            <w:vAlign w:val="center"/>
          </w:tcPr>
          <w:p w14:paraId="08DA72C7">
            <w:pPr>
              <w:jc w:val="center"/>
              <w:rPr>
                <w:color w:val="auto"/>
              </w:rPr>
            </w:pPr>
            <w:r>
              <w:rPr>
                <w:color w:val="auto"/>
              </w:rPr>
              <w:t>此标的不做分项预算单价限制</w:t>
            </w:r>
          </w:p>
        </w:tc>
        <w:tc>
          <w:tcPr>
            <w:tcW w:w="480" w:type="dxa"/>
            <w:vAlign w:val="center"/>
          </w:tcPr>
          <w:p w14:paraId="5C836AAE">
            <w:pPr>
              <w:jc w:val="center"/>
              <w:rPr>
                <w:rFonts w:asciiTheme="minorEastAsia" w:hAnsiTheme="minorEastAsia"/>
                <w:color w:val="auto"/>
              </w:rPr>
            </w:pPr>
            <w:r>
              <w:rPr>
                <w:rFonts w:hint="eastAsia" w:asciiTheme="minorEastAsia" w:hAnsiTheme="minorEastAsia"/>
                <w:color w:val="auto"/>
              </w:rPr>
              <w:t>1</w:t>
            </w:r>
          </w:p>
        </w:tc>
        <w:tc>
          <w:tcPr>
            <w:tcW w:w="600" w:type="dxa"/>
            <w:vAlign w:val="center"/>
          </w:tcPr>
          <w:p w14:paraId="2A46B179">
            <w:pPr>
              <w:jc w:val="center"/>
              <w:rPr>
                <w:rFonts w:asciiTheme="minorEastAsia" w:hAnsiTheme="minorEastAsia"/>
                <w:color w:val="auto"/>
                <w:highlight w:val="none"/>
              </w:rPr>
            </w:pPr>
            <w:r>
              <w:rPr>
                <w:rFonts w:hint="eastAsia" w:asciiTheme="minorEastAsia" w:hAnsiTheme="minorEastAsia"/>
                <w:color w:val="auto"/>
                <w:highlight w:val="none"/>
                <w:lang w:val="en-US" w:eastAsia="zh-CN"/>
              </w:rPr>
              <w:t>台（</w:t>
            </w:r>
            <w:r>
              <w:rPr>
                <w:rFonts w:hint="eastAsia" w:asciiTheme="minorEastAsia" w:hAnsiTheme="minorEastAsia"/>
                <w:color w:val="auto"/>
                <w:highlight w:val="none"/>
              </w:rPr>
              <w:t>套</w:t>
            </w:r>
            <w:r>
              <w:rPr>
                <w:rFonts w:hint="eastAsia" w:asciiTheme="minorEastAsia" w:hAnsiTheme="minorEastAsia"/>
                <w:color w:val="auto"/>
                <w:highlight w:val="none"/>
                <w:lang w:val="en-US" w:eastAsia="zh-CN"/>
              </w:rPr>
              <w:t>）</w:t>
            </w:r>
          </w:p>
        </w:tc>
        <w:tc>
          <w:tcPr>
            <w:tcW w:w="1054" w:type="dxa"/>
            <w:vAlign w:val="center"/>
          </w:tcPr>
          <w:p w14:paraId="3840BBA6">
            <w:pPr>
              <w:jc w:val="center"/>
              <w:rPr>
                <w:rFonts w:asciiTheme="minorEastAsia" w:hAnsiTheme="minorEastAsia"/>
                <w:color w:val="auto"/>
              </w:rPr>
            </w:pPr>
            <w:r>
              <w:rPr>
                <w:color w:val="auto"/>
              </w:rPr>
              <w:t>此标的不做分项预算总价限制，其预算总价包含在项目总预算中</w:t>
            </w:r>
          </w:p>
        </w:tc>
        <w:tc>
          <w:tcPr>
            <w:tcW w:w="702" w:type="dxa"/>
            <w:vAlign w:val="center"/>
          </w:tcPr>
          <w:p w14:paraId="02C4C3DE">
            <w:pPr>
              <w:jc w:val="center"/>
              <w:rPr>
                <w:rFonts w:hint="eastAsia" w:asciiTheme="minorEastAsia" w:hAnsiTheme="minorEastAsia" w:eastAsiaTheme="minorEastAsia"/>
                <w:color w:val="auto"/>
                <w:lang w:eastAsia="zh-CN"/>
              </w:rPr>
            </w:pPr>
            <w:r>
              <w:rPr>
                <w:rFonts w:hint="eastAsia" w:asciiTheme="minorEastAsia" w:hAnsiTheme="minorEastAsia"/>
                <w:color w:val="auto"/>
                <w:lang w:val="en-US" w:eastAsia="zh-CN"/>
              </w:rPr>
              <w:t>否</w:t>
            </w:r>
          </w:p>
        </w:tc>
        <w:tc>
          <w:tcPr>
            <w:tcW w:w="749" w:type="dxa"/>
            <w:vAlign w:val="center"/>
          </w:tcPr>
          <w:p w14:paraId="3524892C">
            <w:pPr>
              <w:jc w:val="center"/>
              <w:rPr>
                <w:rFonts w:asciiTheme="minorEastAsia" w:hAnsiTheme="minorEastAsia"/>
                <w:color w:val="auto"/>
              </w:rPr>
            </w:pPr>
          </w:p>
        </w:tc>
        <w:tc>
          <w:tcPr>
            <w:tcW w:w="987" w:type="dxa"/>
            <w:vAlign w:val="center"/>
          </w:tcPr>
          <w:p w14:paraId="5F5988AC">
            <w:pPr>
              <w:jc w:val="center"/>
              <w:rPr>
                <w:rFonts w:asciiTheme="minorEastAsia" w:hAnsiTheme="minorEastAsia"/>
                <w:color w:val="auto"/>
              </w:rPr>
            </w:pPr>
            <w:r>
              <w:rPr>
                <w:rFonts w:hint="eastAsia" w:asciiTheme="minorEastAsia" w:hAnsiTheme="minorEastAsia"/>
                <w:color w:val="auto"/>
              </w:rPr>
              <w:t>不面向中小企业</w:t>
            </w:r>
          </w:p>
        </w:tc>
        <w:tc>
          <w:tcPr>
            <w:tcW w:w="767" w:type="dxa"/>
            <w:vAlign w:val="center"/>
          </w:tcPr>
          <w:p w14:paraId="24A7FEA1">
            <w:pPr>
              <w:jc w:val="center"/>
              <w:rPr>
                <w:rFonts w:asciiTheme="minorEastAsia" w:hAnsiTheme="minorEastAsia"/>
                <w:color w:val="auto"/>
              </w:rPr>
            </w:pPr>
            <w:r>
              <w:rPr>
                <w:rFonts w:hint="eastAsia" w:asciiTheme="minorEastAsia" w:hAnsiTheme="minorEastAsia"/>
                <w:color w:val="auto"/>
              </w:rPr>
              <w:t>工业</w:t>
            </w:r>
          </w:p>
        </w:tc>
      </w:tr>
    </w:tbl>
    <w:p w14:paraId="5BA91C2E">
      <w:pPr>
        <w:pStyle w:val="17"/>
        <w:rPr>
          <w:rFonts w:hint="default" w:ascii="宋体" w:hAnsi="宋体" w:eastAsia="宋体" w:cs="宋体"/>
          <w:sz w:val="21"/>
          <w:szCs w:val="21"/>
        </w:rPr>
      </w:pPr>
      <w:r>
        <w:rPr>
          <w:rFonts w:ascii="宋体" w:hAnsi="宋体" w:eastAsia="宋体" w:cs="宋体"/>
          <w:b/>
          <w:sz w:val="21"/>
          <w:szCs w:val="21"/>
        </w:rPr>
        <w:t>采购包</w:t>
      </w:r>
      <w:r>
        <w:rPr>
          <w:rFonts w:ascii="宋体" w:hAnsi="宋体" w:eastAsia="宋体" w:cs="宋体"/>
          <w:b/>
          <w:sz w:val="21"/>
          <w:szCs w:val="21"/>
          <w:lang w:eastAsia="zh-CN"/>
        </w:rPr>
        <w:t>1</w:t>
      </w:r>
      <w:r>
        <w:rPr>
          <w:rFonts w:ascii="宋体" w:hAnsi="宋体" w:eastAsia="宋体" w:cs="宋体"/>
          <w:b/>
          <w:sz w:val="21"/>
          <w:szCs w:val="21"/>
        </w:rPr>
        <w:t>涉及本国产品清单</w:t>
      </w:r>
    </w:p>
    <w:tbl>
      <w:tblPr>
        <w:tblStyle w:val="11"/>
        <w:tblpPr w:leftFromText="180" w:rightFromText="180" w:vertAnchor="text" w:horzAnchor="page" w:tblpX="1822" w:tblpY="320"/>
        <w:tblOverlap w:val="never"/>
        <w:tblW w:w="516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2"/>
        <w:gridCol w:w="3274"/>
        <w:gridCol w:w="2200"/>
        <w:gridCol w:w="2200"/>
      </w:tblGrid>
      <w:tr w14:paraId="5624A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439452FF">
            <w:pPr>
              <w:pStyle w:val="17"/>
              <w:jc w:val="center"/>
              <w:rPr>
                <w:rFonts w:hint="default" w:ascii="宋体" w:hAnsi="宋体" w:eastAsia="宋体" w:cs="宋体"/>
                <w:color w:val="auto"/>
                <w:sz w:val="21"/>
                <w:szCs w:val="21"/>
              </w:rPr>
            </w:pPr>
            <w:r>
              <w:rPr>
                <w:rFonts w:ascii="宋体" w:hAnsi="宋体" w:eastAsia="宋体" w:cs="宋体"/>
                <w:color w:val="auto"/>
                <w:sz w:val="21"/>
                <w:szCs w:val="21"/>
              </w:rPr>
              <w:t>序号</w:t>
            </w:r>
          </w:p>
        </w:tc>
        <w:tc>
          <w:tcPr>
            <w:tcW w:w="1860" w:type="pct"/>
            <w:vAlign w:val="center"/>
          </w:tcPr>
          <w:p w14:paraId="4AE9AEB6">
            <w:pPr>
              <w:pStyle w:val="17"/>
              <w:jc w:val="center"/>
              <w:rPr>
                <w:rFonts w:hint="default" w:ascii="宋体" w:hAnsi="宋体" w:eastAsia="宋体" w:cs="宋体"/>
                <w:color w:val="auto"/>
                <w:sz w:val="21"/>
                <w:szCs w:val="21"/>
              </w:rPr>
            </w:pPr>
            <w:r>
              <w:rPr>
                <w:rFonts w:ascii="宋体" w:hAnsi="宋体" w:eastAsia="宋体" w:cs="宋体"/>
                <w:color w:val="auto"/>
                <w:sz w:val="21"/>
                <w:szCs w:val="21"/>
              </w:rPr>
              <w:t>品目名称</w:t>
            </w:r>
          </w:p>
        </w:tc>
        <w:tc>
          <w:tcPr>
            <w:tcW w:w="1250" w:type="pct"/>
            <w:vAlign w:val="center"/>
          </w:tcPr>
          <w:p w14:paraId="6ADB3164">
            <w:pPr>
              <w:pStyle w:val="17"/>
              <w:jc w:val="center"/>
              <w:rPr>
                <w:rFonts w:hint="default" w:ascii="宋体" w:hAnsi="宋体" w:eastAsia="宋体" w:cs="宋体"/>
                <w:color w:val="auto"/>
                <w:sz w:val="21"/>
                <w:szCs w:val="21"/>
              </w:rPr>
            </w:pPr>
            <w:r>
              <w:rPr>
                <w:rFonts w:ascii="宋体" w:hAnsi="宋体" w:eastAsia="宋体" w:cs="宋体"/>
                <w:color w:val="auto"/>
                <w:sz w:val="21"/>
                <w:szCs w:val="21"/>
              </w:rPr>
              <w:t>采购标的</w:t>
            </w:r>
          </w:p>
        </w:tc>
        <w:tc>
          <w:tcPr>
            <w:tcW w:w="1250" w:type="pct"/>
            <w:vAlign w:val="center"/>
          </w:tcPr>
          <w:p w14:paraId="7711442E">
            <w:pPr>
              <w:pStyle w:val="17"/>
              <w:jc w:val="center"/>
              <w:rPr>
                <w:rFonts w:hint="default" w:ascii="宋体" w:hAnsi="宋体" w:eastAsia="宋体" w:cs="宋体"/>
                <w:color w:val="auto"/>
                <w:sz w:val="21"/>
                <w:szCs w:val="21"/>
              </w:rPr>
            </w:pPr>
            <w:r>
              <w:rPr>
                <w:rFonts w:ascii="宋体" w:hAnsi="宋体" w:eastAsia="宋体" w:cs="宋体"/>
                <w:color w:val="auto"/>
                <w:sz w:val="21"/>
                <w:szCs w:val="21"/>
              </w:rPr>
              <w:t>产品名称</w:t>
            </w:r>
          </w:p>
        </w:tc>
      </w:tr>
      <w:tr w14:paraId="4F94F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46C36393">
            <w:pPr>
              <w:pStyle w:val="17"/>
              <w:jc w:val="center"/>
              <w:rPr>
                <w:rFonts w:hint="default" w:ascii="宋体" w:hAnsi="宋体" w:eastAsia="宋体" w:cs="宋体"/>
                <w:color w:val="auto"/>
                <w:sz w:val="21"/>
                <w:szCs w:val="21"/>
              </w:rPr>
            </w:pPr>
            <w:r>
              <w:rPr>
                <w:rFonts w:ascii="宋体" w:hAnsi="宋体" w:eastAsia="宋体" w:cs="宋体"/>
                <w:color w:val="auto"/>
                <w:sz w:val="21"/>
                <w:szCs w:val="21"/>
              </w:rPr>
              <w:t>1</w:t>
            </w:r>
          </w:p>
        </w:tc>
        <w:tc>
          <w:tcPr>
            <w:tcW w:w="1860" w:type="pct"/>
            <w:shd w:val="clear" w:color="auto" w:fill="auto"/>
            <w:vAlign w:val="center"/>
          </w:tcPr>
          <w:p w14:paraId="21D5DD5A">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其他分析仪器</w:t>
            </w:r>
          </w:p>
        </w:tc>
        <w:tc>
          <w:tcPr>
            <w:tcW w:w="1250" w:type="pct"/>
            <w:shd w:val="clear" w:color="auto" w:fill="auto"/>
            <w:vAlign w:val="center"/>
          </w:tcPr>
          <w:p w14:paraId="040647EE">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全自动凯氏定氮仪</w:t>
            </w:r>
          </w:p>
        </w:tc>
        <w:tc>
          <w:tcPr>
            <w:tcW w:w="1250" w:type="pct"/>
            <w:shd w:val="clear" w:color="auto" w:fill="auto"/>
            <w:vAlign w:val="center"/>
          </w:tcPr>
          <w:p w14:paraId="555B584D">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全自动凯氏定氮仪</w:t>
            </w:r>
          </w:p>
        </w:tc>
      </w:tr>
      <w:tr w14:paraId="70B37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04DA6AF9">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860" w:type="pct"/>
            <w:shd w:val="clear" w:color="auto" w:fill="auto"/>
            <w:vAlign w:val="center"/>
          </w:tcPr>
          <w:p w14:paraId="41AF8769">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光学式分析仪器</w:t>
            </w:r>
          </w:p>
        </w:tc>
        <w:tc>
          <w:tcPr>
            <w:tcW w:w="1250" w:type="pct"/>
            <w:shd w:val="clear" w:color="auto" w:fill="auto"/>
            <w:vAlign w:val="center"/>
          </w:tcPr>
          <w:p w14:paraId="3ED9A202">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近红外品质测定仪</w:t>
            </w:r>
          </w:p>
        </w:tc>
        <w:tc>
          <w:tcPr>
            <w:tcW w:w="1250" w:type="pct"/>
            <w:shd w:val="clear" w:color="auto" w:fill="auto"/>
            <w:vAlign w:val="center"/>
          </w:tcPr>
          <w:p w14:paraId="0F23B0D8">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近红外品质测定仪</w:t>
            </w:r>
          </w:p>
        </w:tc>
      </w:tr>
      <w:tr w14:paraId="33468F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349D2A6E">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860" w:type="pct"/>
            <w:shd w:val="clear" w:color="auto" w:fill="auto"/>
            <w:vAlign w:val="center"/>
          </w:tcPr>
          <w:p w14:paraId="76D97BCF">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其他试验仪器及装置</w:t>
            </w:r>
          </w:p>
        </w:tc>
        <w:tc>
          <w:tcPr>
            <w:tcW w:w="1250" w:type="pct"/>
            <w:shd w:val="clear" w:color="auto" w:fill="auto"/>
            <w:vAlign w:val="center"/>
          </w:tcPr>
          <w:p w14:paraId="353998CB">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质构仪</w:t>
            </w:r>
          </w:p>
        </w:tc>
        <w:tc>
          <w:tcPr>
            <w:tcW w:w="1250" w:type="pct"/>
            <w:shd w:val="clear" w:color="auto" w:fill="auto"/>
            <w:vAlign w:val="center"/>
          </w:tcPr>
          <w:p w14:paraId="0033B097">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质构仪</w:t>
            </w:r>
          </w:p>
        </w:tc>
      </w:tr>
      <w:tr w14:paraId="6D345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04E8FE52">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860" w:type="pct"/>
            <w:shd w:val="clear" w:color="auto" w:fill="auto"/>
            <w:vAlign w:val="center"/>
          </w:tcPr>
          <w:p w14:paraId="21FB5E2F">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其他试验仪器及装置</w:t>
            </w:r>
          </w:p>
        </w:tc>
        <w:tc>
          <w:tcPr>
            <w:tcW w:w="1250" w:type="pct"/>
            <w:shd w:val="clear" w:color="auto" w:fill="auto"/>
            <w:vAlign w:val="center"/>
          </w:tcPr>
          <w:p w14:paraId="1C92BCA7">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盐酸水解</w:t>
            </w:r>
            <w:r>
              <w:rPr>
                <w:rFonts w:hint="eastAsia" w:asciiTheme="minorEastAsia" w:hAnsiTheme="minorEastAsia"/>
                <w:color w:val="auto"/>
                <w:lang w:val="en-US" w:eastAsia="zh-CN"/>
              </w:rPr>
              <w:t>仪</w:t>
            </w:r>
          </w:p>
        </w:tc>
        <w:tc>
          <w:tcPr>
            <w:tcW w:w="1250" w:type="pct"/>
            <w:shd w:val="clear" w:color="auto" w:fill="auto"/>
            <w:vAlign w:val="center"/>
          </w:tcPr>
          <w:p w14:paraId="26F0B898">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盐酸水解</w:t>
            </w:r>
            <w:r>
              <w:rPr>
                <w:rFonts w:hint="eastAsia" w:asciiTheme="minorEastAsia" w:hAnsiTheme="minorEastAsia"/>
                <w:color w:val="auto"/>
                <w:lang w:val="en-US" w:eastAsia="zh-CN"/>
              </w:rPr>
              <w:t>仪</w:t>
            </w:r>
          </w:p>
        </w:tc>
      </w:tr>
      <w:tr w14:paraId="07CC6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90" w:hRule="atLeast"/>
        </w:trPr>
        <w:tc>
          <w:tcPr>
            <w:tcW w:w="638" w:type="pct"/>
            <w:vAlign w:val="center"/>
          </w:tcPr>
          <w:p w14:paraId="252AF72E">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1860" w:type="pct"/>
            <w:shd w:val="clear" w:color="auto" w:fill="auto"/>
            <w:vAlign w:val="center"/>
          </w:tcPr>
          <w:p w14:paraId="459AC2C5">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其他分析仪器</w:t>
            </w:r>
          </w:p>
        </w:tc>
        <w:tc>
          <w:tcPr>
            <w:tcW w:w="1250" w:type="pct"/>
            <w:shd w:val="clear" w:color="auto" w:fill="auto"/>
            <w:vAlign w:val="center"/>
          </w:tcPr>
          <w:p w14:paraId="379C192B">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szCs w:val="21"/>
              </w:rPr>
              <w:t>全自动形态碳总氮分析仪</w:t>
            </w:r>
          </w:p>
        </w:tc>
        <w:tc>
          <w:tcPr>
            <w:tcW w:w="1250" w:type="pct"/>
            <w:shd w:val="clear" w:color="auto" w:fill="auto"/>
            <w:vAlign w:val="center"/>
          </w:tcPr>
          <w:p w14:paraId="0B9E73B4">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szCs w:val="21"/>
              </w:rPr>
              <w:t>全自动形态碳总氮分析仪</w:t>
            </w:r>
          </w:p>
        </w:tc>
      </w:tr>
      <w:tr w14:paraId="0CB72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7" w:hRule="atLeast"/>
        </w:trPr>
        <w:tc>
          <w:tcPr>
            <w:tcW w:w="638" w:type="pct"/>
            <w:vAlign w:val="center"/>
          </w:tcPr>
          <w:p w14:paraId="41EB0256">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1860" w:type="pct"/>
            <w:shd w:val="clear" w:color="auto" w:fill="auto"/>
            <w:vAlign w:val="center"/>
          </w:tcPr>
          <w:p w14:paraId="526CD6F2">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其他分析仪器</w:t>
            </w:r>
          </w:p>
        </w:tc>
        <w:tc>
          <w:tcPr>
            <w:tcW w:w="1250" w:type="pct"/>
            <w:shd w:val="clear" w:color="auto" w:fill="auto"/>
            <w:vAlign w:val="center"/>
          </w:tcPr>
          <w:p w14:paraId="61D037A5">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电子鼻</w:t>
            </w:r>
          </w:p>
        </w:tc>
        <w:tc>
          <w:tcPr>
            <w:tcW w:w="1250" w:type="pct"/>
            <w:shd w:val="clear" w:color="auto" w:fill="auto"/>
            <w:vAlign w:val="center"/>
          </w:tcPr>
          <w:p w14:paraId="4697FF83">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电子鼻</w:t>
            </w:r>
          </w:p>
        </w:tc>
      </w:tr>
      <w:tr w14:paraId="23503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3" w:hRule="atLeast"/>
        </w:trPr>
        <w:tc>
          <w:tcPr>
            <w:tcW w:w="638" w:type="pct"/>
            <w:vAlign w:val="center"/>
          </w:tcPr>
          <w:p w14:paraId="59A1EF45">
            <w:pPr>
              <w:pStyle w:val="17"/>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1860" w:type="pct"/>
            <w:shd w:val="clear" w:color="auto" w:fill="auto"/>
            <w:vAlign w:val="center"/>
          </w:tcPr>
          <w:p w14:paraId="230E268B">
            <w:pPr>
              <w:jc w:val="center"/>
              <w:rPr>
                <w:rFonts w:hint="default" w:asciiTheme="minorEastAsia" w:hAnsiTheme="minorEastAsia" w:eastAsiaTheme="minorEastAsia" w:cstheme="minorBidi"/>
                <w:color w:val="auto"/>
                <w:kern w:val="2"/>
                <w:sz w:val="21"/>
                <w:szCs w:val="22"/>
                <w:lang w:val="en-US" w:eastAsia="zh-CN" w:bidi="ar-SA"/>
              </w:rPr>
            </w:pPr>
            <w:r>
              <w:rPr>
                <w:rFonts w:asciiTheme="minorEastAsia" w:hAnsiTheme="minorEastAsia"/>
                <w:color w:val="auto"/>
              </w:rPr>
              <w:t>环境监测仪器及综合分析装置</w:t>
            </w:r>
          </w:p>
        </w:tc>
        <w:tc>
          <w:tcPr>
            <w:tcW w:w="1250" w:type="pct"/>
            <w:shd w:val="clear" w:color="auto" w:fill="auto"/>
            <w:vAlign w:val="center"/>
          </w:tcPr>
          <w:p w14:paraId="75ABEE21">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在线水质自动监测仪</w:t>
            </w:r>
          </w:p>
        </w:tc>
        <w:tc>
          <w:tcPr>
            <w:tcW w:w="1250" w:type="pct"/>
            <w:shd w:val="clear" w:color="auto" w:fill="auto"/>
            <w:vAlign w:val="center"/>
          </w:tcPr>
          <w:p w14:paraId="225DC284">
            <w:pPr>
              <w:jc w:val="center"/>
              <w:rPr>
                <w:rFonts w:hint="default" w:asciiTheme="minorEastAsia" w:hAnsiTheme="minorEastAsia" w:eastAsiaTheme="minorEastAsia" w:cstheme="minorBidi"/>
                <w:color w:val="auto"/>
                <w:kern w:val="2"/>
                <w:sz w:val="21"/>
                <w:szCs w:val="22"/>
                <w:lang w:val="en-US" w:eastAsia="zh-CN" w:bidi="ar-SA"/>
              </w:rPr>
            </w:pPr>
            <w:r>
              <w:rPr>
                <w:rFonts w:hint="eastAsia" w:asciiTheme="minorEastAsia" w:hAnsiTheme="minorEastAsia"/>
                <w:color w:val="auto"/>
              </w:rPr>
              <w:t>在线水质自动监测仪</w:t>
            </w:r>
          </w:p>
        </w:tc>
      </w:tr>
    </w:tbl>
    <w:p w14:paraId="4C123939">
      <w:pPr>
        <w:spacing w:line="360" w:lineRule="auto"/>
        <w:rPr>
          <w:rFonts w:asciiTheme="minorEastAsia" w:hAnsiTheme="minorEastAsia"/>
        </w:rPr>
      </w:pPr>
    </w:p>
    <w:p w14:paraId="29F07804">
      <w:pPr>
        <w:numPr>
          <w:ilvl w:val="0"/>
          <w:numId w:val="1"/>
        </w:numPr>
        <w:spacing w:line="360" w:lineRule="auto"/>
        <w:rPr>
          <w:rFonts w:asciiTheme="minorEastAsia" w:hAnsiTheme="minorEastAsia"/>
          <w:color w:val="auto"/>
        </w:rPr>
      </w:pPr>
      <w:r>
        <w:rPr>
          <w:rFonts w:hint="eastAsia" w:asciiTheme="minorEastAsia" w:hAnsiTheme="minorEastAsia"/>
          <w:color w:val="auto"/>
        </w:rPr>
        <w:t>联合体投标</w:t>
      </w:r>
    </w:p>
    <w:p w14:paraId="479F2C8D">
      <w:pPr>
        <w:spacing w:line="360" w:lineRule="auto"/>
        <w:rPr>
          <w:rFonts w:asciiTheme="minorEastAsia" w:hAnsiTheme="minorEastAsia"/>
          <w:color w:val="auto"/>
        </w:rPr>
      </w:pPr>
      <w:r>
        <w:rPr>
          <w:rFonts w:hint="eastAsia" w:asciiTheme="minorEastAsia" w:hAnsiTheme="minorEastAsia"/>
          <w:color w:val="auto"/>
        </w:rPr>
        <w:t>本合同包</w:t>
      </w:r>
      <w:r>
        <w:rPr>
          <w:rFonts w:hint="eastAsia" w:asciiTheme="minorEastAsia" w:hAnsiTheme="minorEastAsia"/>
          <w:color w:val="auto"/>
          <w:u w:val="single"/>
        </w:rPr>
        <w:t>不接受</w:t>
      </w:r>
      <w:r>
        <w:rPr>
          <w:rFonts w:hint="eastAsia" w:asciiTheme="minorEastAsia" w:hAnsiTheme="minorEastAsia"/>
          <w:color w:val="auto"/>
        </w:rPr>
        <w:t>联合体投标</w:t>
      </w:r>
    </w:p>
    <w:p w14:paraId="449D3633">
      <w:pPr>
        <w:numPr>
          <w:ilvl w:val="0"/>
          <w:numId w:val="1"/>
        </w:numPr>
        <w:spacing w:line="360" w:lineRule="auto"/>
        <w:rPr>
          <w:rFonts w:asciiTheme="minorEastAsia" w:hAnsiTheme="minorEastAsia"/>
          <w:color w:val="auto"/>
        </w:rPr>
      </w:pPr>
      <w:r>
        <w:rPr>
          <w:rFonts w:hint="eastAsia" w:asciiTheme="minorEastAsia" w:hAnsiTheme="minorEastAsia"/>
          <w:color w:val="auto"/>
        </w:rPr>
        <w:t>采购资金支付方式</w:t>
      </w:r>
    </w:p>
    <w:p w14:paraId="6F1D7FC8">
      <w:pPr>
        <w:spacing w:line="360" w:lineRule="auto"/>
        <w:ind w:left="420"/>
        <w:rPr>
          <w:rFonts w:asciiTheme="minorEastAsia" w:hAnsiTheme="minorEastAsia"/>
          <w:color w:val="auto"/>
        </w:rPr>
      </w:pPr>
      <w:r>
        <w:rPr>
          <w:rFonts w:hint="eastAsia" w:asciiTheme="minorEastAsia" w:hAnsiTheme="minorEastAsia"/>
          <w:color w:val="auto"/>
        </w:rPr>
        <w:t>单位自行支付</w:t>
      </w:r>
    </w:p>
    <w:p w14:paraId="2DB1B775">
      <w:pPr>
        <w:numPr>
          <w:ilvl w:val="0"/>
          <w:numId w:val="1"/>
        </w:numPr>
        <w:spacing w:line="360" w:lineRule="auto"/>
        <w:rPr>
          <w:rFonts w:asciiTheme="minorEastAsia" w:hAnsiTheme="minorEastAsia"/>
          <w:color w:val="auto"/>
        </w:rPr>
      </w:pPr>
      <w:r>
        <w:rPr>
          <w:rFonts w:hint="eastAsia" w:asciiTheme="minorEastAsia" w:hAnsiTheme="minorEastAsia"/>
          <w:color w:val="auto"/>
        </w:rPr>
        <w:t>最低有效供应商数目信息：3</w:t>
      </w:r>
    </w:p>
    <w:p w14:paraId="5CB939EC">
      <w:pPr>
        <w:numPr>
          <w:ilvl w:val="0"/>
          <w:numId w:val="1"/>
        </w:numPr>
        <w:spacing w:line="360" w:lineRule="auto"/>
        <w:rPr>
          <w:rFonts w:asciiTheme="minorEastAsia" w:hAnsiTheme="minorEastAsia"/>
          <w:color w:val="auto"/>
        </w:rPr>
      </w:pPr>
      <w:r>
        <w:rPr>
          <w:rFonts w:hint="eastAsia" w:asciiTheme="minorEastAsia" w:hAnsiTheme="minorEastAsia"/>
          <w:color w:val="auto"/>
        </w:rPr>
        <w:t>中标供应商信息</w:t>
      </w:r>
    </w:p>
    <w:p w14:paraId="6F9CEB13">
      <w:pPr>
        <w:spacing w:line="360" w:lineRule="auto"/>
        <w:rPr>
          <w:rFonts w:asciiTheme="minorEastAsia" w:hAnsiTheme="minorEastAsia"/>
          <w:color w:val="auto"/>
        </w:rPr>
      </w:pPr>
      <w:r>
        <w:rPr>
          <w:rFonts w:hint="eastAsia" w:asciiTheme="minorEastAsia" w:hAnsiTheme="minorEastAsia"/>
          <w:color w:val="auto"/>
        </w:rPr>
        <w:t>推荐候选人数量：</w:t>
      </w:r>
      <w:r>
        <w:rPr>
          <w:rFonts w:hint="eastAsia" w:asciiTheme="minorEastAsia" w:hAnsiTheme="minorEastAsia"/>
          <w:color w:val="auto"/>
          <w:u w:val="single"/>
        </w:rPr>
        <w:t xml:space="preserve"> 2 </w:t>
      </w:r>
      <w:r>
        <w:rPr>
          <w:rFonts w:hint="eastAsia" w:asciiTheme="minorEastAsia" w:hAnsiTheme="minorEastAsia"/>
          <w:color w:val="auto"/>
        </w:rPr>
        <w:t>名  中标供应商数量：</w:t>
      </w:r>
      <w:r>
        <w:rPr>
          <w:rFonts w:hint="eastAsia" w:asciiTheme="minorEastAsia" w:hAnsiTheme="minorEastAsia"/>
          <w:color w:val="auto"/>
          <w:u w:val="single"/>
        </w:rPr>
        <w:t xml:space="preserve"> 1 </w:t>
      </w:r>
      <w:r>
        <w:rPr>
          <w:rFonts w:hint="eastAsia" w:asciiTheme="minorEastAsia" w:hAnsiTheme="minorEastAsia"/>
          <w:color w:val="auto"/>
        </w:rPr>
        <w:t>名  中标金额预分配信息：不预分配</w:t>
      </w:r>
    </w:p>
    <w:p w14:paraId="1C6A743E">
      <w:pPr>
        <w:numPr>
          <w:ilvl w:val="0"/>
          <w:numId w:val="1"/>
        </w:numPr>
        <w:spacing w:line="360" w:lineRule="auto"/>
        <w:rPr>
          <w:rFonts w:asciiTheme="minorEastAsia" w:hAnsiTheme="minorEastAsia"/>
          <w:color w:val="auto"/>
        </w:rPr>
      </w:pPr>
      <w:r>
        <w:rPr>
          <w:rFonts w:hint="eastAsia" w:asciiTheme="minorEastAsia" w:hAnsiTheme="minorEastAsia"/>
          <w:color w:val="auto"/>
        </w:rPr>
        <w:t>履约保证金</w:t>
      </w:r>
    </w:p>
    <w:p w14:paraId="10B7E467">
      <w:pPr>
        <w:spacing w:line="360" w:lineRule="auto"/>
        <w:rPr>
          <w:rFonts w:asciiTheme="minorEastAsia" w:hAnsiTheme="minorEastAsia"/>
          <w:color w:val="auto"/>
        </w:rPr>
      </w:pPr>
      <w:r>
        <w:rPr>
          <w:rFonts w:hint="eastAsia" w:asciiTheme="minorEastAsia" w:hAnsiTheme="minorEastAsia"/>
          <w:color w:val="auto"/>
        </w:rPr>
        <w:t>是否收取履约保证金：</w:t>
      </w:r>
      <w:r>
        <w:rPr>
          <w:rFonts w:hint="eastAsia" w:asciiTheme="minorEastAsia" w:hAnsiTheme="minorEastAsia"/>
          <w:color w:val="auto"/>
          <w:u w:val="single"/>
        </w:rPr>
        <w:t xml:space="preserve">  是  </w:t>
      </w:r>
    </w:p>
    <w:p w14:paraId="34AEB1DD">
      <w:pPr>
        <w:spacing w:line="360" w:lineRule="auto"/>
        <w:rPr>
          <w:rFonts w:asciiTheme="minorEastAsia" w:hAnsiTheme="minorEastAsia"/>
        </w:rPr>
      </w:pPr>
      <w:r>
        <w:rPr>
          <w:rFonts w:hint="eastAsia" w:asciiTheme="minorEastAsia" w:hAnsiTheme="minorEastAsia"/>
        </w:rPr>
        <w:t>交纳比例：</w:t>
      </w:r>
      <w:r>
        <w:rPr>
          <w:rFonts w:hint="eastAsia" w:asciiTheme="minorEastAsia" w:hAnsiTheme="minorEastAsia"/>
          <w:lang w:val="en-US" w:eastAsia="zh-CN"/>
        </w:rPr>
        <w:t>3</w:t>
      </w:r>
      <w:r>
        <w:rPr>
          <w:rFonts w:hint="eastAsia" w:asciiTheme="minorEastAsia" w:hAnsiTheme="minorEastAsia"/>
        </w:rPr>
        <w:t>%</w:t>
      </w:r>
    </w:p>
    <w:p w14:paraId="7EF77E4B">
      <w:pPr>
        <w:spacing w:line="360" w:lineRule="auto"/>
        <w:rPr>
          <w:rFonts w:asciiTheme="minorEastAsia" w:hAnsiTheme="minorEastAsia"/>
        </w:rPr>
      </w:pPr>
      <w:r>
        <w:rPr>
          <w:rFonts w:hint="eastAsia" w:asciiTheme="minorEastAsia" w:hAnsiTheme="minorEastAsia"/>
        </w:rPr>
        <w:t>缴费渠道：电子保函（保险）、其他</w:t>
      </w:r>
    </w:p>
    <w:p w14:paraId="79211F28">
      <w:pPr>
        <w:spacing w:line="360" w:lineRule="auto"/>
        <w:rPr>
          <w:rFonts w:asciiTheme="minorEastAsia" w:hAnsiTheme="minorEastAsia"/>
        </w:rPr>
      </w:pPr>
      <w:r>
        <w:rPr>
          <w:rFonts w:hint="eastAsia" w:asciiTheme="minorEastAsia" w:hAnsiTheme="minorEastAsia"/>
        </w:rPr>
        <w:t>账号：3602002609000229829</w:t>
      </w:r>
    </w:p>
    <w:p w14:paraId="651E40B6">
      <w:pPr>
        <w:spacing w:line="360" w:lineRule="auto"/>
        <w:rPr>
          <w:rFonts w:asciiTheme="minorEastAsia" w:hAnsiTheme="minorEastAsia"/>
        </w:rPr>
      </w:pPr>
      <w:r>
        <w:rPr>
          <w:rFonts w:hint="eastAsia" w:asciiTheme="minorEastAsia" w:hAnsiTheme="minorEastAsia"/>
        </w:rPr>
        <w:t>户名：广东省农业科学院动物科学研究所</w:t>
      </w:r>
    </w:p>
    <w:p w14:paraId="4C82B868">
      <w:pPr>
        <w:spacing w:line="360" w:lineRule="auto"/>
        <w:rPr>
          <w:rFonts w:asciiTheme="minorEastAsia" w:hAnsiTheme="minorEastAsia"/>
        </w:rPr>
      </w:pPr>
      <w:r>
        <w:rPr>
          <w:rFonts w:hint="eastAsia" w:asciiTheme="minorEastAsia" w:hAnsiTheme="minorEastAsia"/>
        </w:rPr>
        <w:t>开户行：工行广州市五山支行</w:t>
      </w:r>
    </w:p>
    <w:p w14:paraId="62446174">
      <w:pPr>
        <w:spacing w:line="360" w:lineRule="auto"/>
        <w:rPr>
          <w:rFonts w:asciiTheme="minorEastAsia" w:hAnsiTheme="minorEastAsia"/>
        </w:rPr>
      </w:pPr>
      <w:r>
        <w:rPr>
          <w:rFonts w:hint="eastAsia" w:asciiTheme="minorEastAsia" w:hAnsiTheme="minorEastAsia"/>
        </w:rPr>
        <w:t>说明：中标供应商与采购人签订合同后5个工作日内，按合同总价的</w:t>
      </w:r>
      <w:r>
        <w:rPr>
          <w:rFonts w:hint="eastAsia" w:asciiTheme="minorEastAsia" w:hAnsiTheme="minorEastAsia"/>
          <w:lang w:val="en-US" w:eastAsia="zh-CN"/>
        </w:rPr>
        <w:t>3</w:t>
      </w:r>
      <w:r>
        <w:rPr>
          <w:rFonts w:hint="eastAsia" w:asciiTheme="minorEastAsia" w:hAnsiTheme="minorEastAsia"/>
        </w:rPr>
        <w:t>%向采购人提交履约保证金（以金融机构、担保机构出具的保函或对公转账等非现金形式提交，对公转账以银行电子回单为据）。若中标供应商没有违约行为，履约保证金在验收合格后30日内由采购人以非现金形式无息退还中标供应商。履约保证金不予退还的情形：（1）拒绝履行合同义务的；（2）履约验收不合格的。采购人逾期退还履约保证金的，从逾期之日起每日按履约保证金3‰的数额向中标供应商支付违约金。但因中标供应商自身原因导致无法及时退还的除外。</w:t>
      </w:r>
    </w:p>
    <w:p w14:paraId="51D5630C">
      <w:pPr>
        <w:spacing w:line="360" w:lineRule="auto"/>
        <w:rPr>
          <w:rFonts w:asciiTheme="minorEastAsia" w:hAnsiTheme="minorEastAsia"/>
          <w:color w:val="auto"/>
        </w:rPr>
      </w:pPr>
      <w:r>
        <w:rPr>
          <w:rFonts w:hint="eastAsia" w:asciiTheme="minorEastAsia" w:hAnsiTheme="minorEastAsia"/>
        </w:rPr>
        <w:t xml:space="preserve"> 履约保证金可以以履约保函（保险）形式提供，目前"广东政府采购智慧云平台金融服务中心(https://gdgpo.czt.gd.gov.cn/zcdservice/zcd/guangdong/)已实现电子履约保函（保险）在线办理功能，有意愿供应商</w:t>
      </w:r>
      <w:r>
        <w:rPr>
          <w:rFonts w:hint="eastAsia" w:asciiTheme="minorEastAsia" w:hAnsiTheme="minorEastAsia"/>
          <w:color w:val="auto"/>
        </w:rPr>
        <w:t>可自行办理提供。</w:t>
      </w:r>
    </w:p>
    <w:p w14:paraId="16FF9C03">
      <w:pPr>
        <w:numPr>
          <w:ilvl w:val="0"/>
          <w:numId w:val="1"/>
        </w:numPr>
        <w:spacing w:line="360" w:lineRule="auto"/>
        <w:rPr>
          <w:rFonts w:asciiTheme="minorEastAsia" w:hAnsiTheme="minorEastAsia"/>
          <w:color w:val="auto"/>
        </w:rPr>
      </w:pPr>
      <w:r>
        <w:rPr>
          <w:rFonts w:hint="eastAsia" w:asciiTheme="minorEastAsia" w:hAnsiTheme="minorEastAsia"/>
          <w:color w:val="auto"/>
        </w:rPr>
        <w:t>投标保证金</w:t>
      </w:r>
    </w:p>
    <w:p w14:paraId="023AED91">
      <w:pPr>
        <w:spacing w:line="360" w:lineRule="auto"/>
        <w:rPr>
          <w:rFonts w:asciiTheme="minorEastAsia" w:hAnsiTheme="minorEastAsia"/>
          <w:color w:val="auto"/>
        </w:rPr>
      </w:pPr>
      <w:r>
        <w:rPr>
          <w:rFonts w:hint="eastAsia" w:asciiTheme="minorEastAsia" w:hAnsiTheme="minorEastAsia"/>
          <w:color w:val="auto"/>
        </w:rPr>
        <w:t>账户类型：电子保函、转账、支票、汇票等</w:t>
      </w:r>
    </w:p>
    <w:p w14:paraId="1FDDDC49">
      <w:pPr>
        <w:spacing w:line="360" w:lineRule="auto"/>
        <w:rPr>
          <w:rFonts w:asciiTheme="minorEastAsia" w:hAnsiTheme="minorEastAsia"/>
          <w:color w:val="auto"/>
        </w:rPr>
      </w:pPr>
      <w:r>
        <w:rPr>
          <w:rFonts w:hint="eastAsia" w:asciiTheme="minorEastAsia" w:hAnsiTheme="minorEastAsia"/>
          <w:color w:val="auto"/>
        </w:rPr>
        <w:t>支票提交方式：提交投标文件截止时间前原件递交至采购代理机构。</w:t>
      </w:r>
    </w:p>
    <w:p w14:paraId="6BB359E4">
      <w:pPr>
        <w:spacing w:line="360" w:lineRule="auto"/>
        <w:rPr>
          <w:rFonts w:asciiTheme="minorEastAsia" w:hAnsiTheme="minorEastAsia"/>
          <w:color w:val="auto"/>
        </w:rPr>
      </w:pPr>
      <w:r>
        <w:rPr>
          <w:rFonts w:hint="eastAsia" w:asciiTheme="minorEastAsia" w:hAnsiTheme="minorEastAsia"/>
          <w:color w:val="auto"/>
        </w:rPr>
        <w:t>汇票、本票提交方式：提交投标文件截止时间前原件递交至采购代理机构。</w:t>
      </w:r>
    </w:p>
    <w:p w14:paraId="45380219">
      <w:pPr>
        <w:numPr>
          <w:ilvl w:val="0"/>
          <w:numId w:val="1"/>
        </w:numPr>
        <w:spacing w:line="360" w:lineRule="auto"/>
        <w:rPr>
          <w:rFonts w:asciiTheme="minorEastAsia" w:hAnsiTheme="minorEastAsia"/>
          <w:color w:val="auto"/>
        </w:rPr>
      </w:pPr>
      <w:r>
        <w:rPr>
          <w:rFonts w:hint="eastAsia" w:asciiTheme="minorEastAsia" w:hAnsiTheme="minorEastAsia"/>
          <w:color w:val="auto"/>
        </w:rPr>
        <w:t>合同履约期限</w:t>
      </w:r>
    </w:p>
    <w:p w14:paraId="307E96F2">
      <w:pPr>
        <w:spacing w:line="360" w:lineRule="auto"/>
        <w:rPr>
          <w:rFonts w:asciiTheme="minorEastAsia" w:hAnsiTheme="minorEastAsia"/>
          <w:color w:val="auto"/>
          <w:u w:val="single"/>
        </w:rPr>
      </w:pPr>
      <w:r>
        <w:rPr>
          <w:rFonts w:hint="eastAsia" w:asciiTheme="minorEastAsia" w:hAnsiTheme="minorEastAsia"/>
          <w:color w:val="auto"/>
        </w:rPr>
        <w:t>合同履约期限：</w:t>
      </w:r>
      <w:r>
        <w:rPr>
          <w:rFonts w:hint="eastAsia"/>
          <w:color w:val="auto"/>
        </w:rPr>
        <w:t>见“</w:t>
      </w:r>
      <w:r>
        <w:rPr>
          <w:rFonts w:hint="eastAsia" w:asciiTheme="minorEastAsia" w:hAnsiTheme="minorEastAsia"/>
          <w:color w:val="auto"/>
        </w:rPr>
        <w:t>标的提供时间</w:t>
      </w:r>
      <w:r>
        <w:rPr>
          <w:rFonts w:hint="eastAsia"/>
          <w:color w:val="auto"/>
        </w:rPr>
        <w:t>”</w:t>
      </w:r>
      <w:r>
        <w:rPr>
          <w:color w:val="auto"/>
        </w:rPr>
        <w:t>要求</w:t>
      </w:r>
      <w:r>
        <w:rPr>
          <w:rFonts w:hint="eastAsia" w:asciiTheme="minorEastAsia" w:hAnsiTheme="minorEastAsia"/>
          <w:color w:val="auto"/>
        </w:rPr>
        <w:t>。</w:t>
      </w:r>
    </w:p>
    <w:p w14:paraId="276C00C8">
      <w:pPr>
        <w:numPr>
          <w:ilvl w:val="0"/>
          <w:numId w:val="1"/>
        </w:numPr>
        <w:spacing w:line="360" w:lineRule="auto"/>
        <w:rPr>
          <w:rFonts w:asciiTheme="minorEastAsia" w:hAnsiTheme="minorEastAsia"/>
          <w:color w:val="auto"/>
        </w:rPr>
      </w:pPr>
      <w:r>
        <w:rPr>
          <w:rFonts w:hint="eastAsia" w:asciiTheme="minorEastAsia" w:hAnsiTheme="minorEastAsia"/>
          <w:color w:val="auto"/>
        </w:rPr>
        <w:t>标的提供时间及地点</w:t>
      </w:r>
    </w:p>
    <w:p w14:paraId="5A602F8A">
      <w:pPr>
        <w:spacing w:line="360" w:lineRule="auto"/>
        <w:rPr>
          <w:rFonts w:hint="eastAsia" w:asciiTheme="minorEastAsia" w:hAnsiTheme="minorEastAsia" w:eastAsiaTheme="minorEastAsia"/>
          <w:color w:val="auto"/>
          <w:lang w:eastAsia="zh-CN"/>
        </w:rPr>
      </w:pPr>
      <w:r>
        <w:rPr>
          <w:rFonts w:hint="eastAsia" w:asciiTheme="minorEastAsia" w:hAnsiTheme="minorEastAsia"/>
          <w:color w:val="auto"/>
        </w:rPr>
        <w:t>标的提供时间：</w:t>
      </w:r>
      <w:r>
        <w:rPr>
          <w:rFonts w:hint="eastAsia" w:asciiTheme="minorEastAsia" w:hAnsiTheme="minorEastAsia"/>
          <w:color w:val="auto"/>
          <w:u w:val="single"/>
        </w:rPr>
        <w:t xml:space="preserve"> 中华人民共和国关境内提供的货物合同签订之日起 30 日（日历日）；中华人民共和国关境外提供的货物免税办理后60日（日历日）内 </w:t>
      </w:r>
      <w:r>
        <w:rPr>
          <w:rFonts w:hint="eastAsia" w:asciiTheme="minorEastAsia" w:hAnsiTheme="minorEastAsia"/>
          <w:color w:val="auto"/>
          <w:u w:val="single"/>
          <w:lang w:eastAsia="zh-CN"/>
        </w:rPr>
        <w:t>。</w:t>
      </w:r>
    </w:p>
    <w:p w14:paraId="1887A5A4">
      <w:pPr>
        <w:spacing w:line="360" w:lineRule="auto"/>
        <w:rPr>
          <w:rFonts w:asciiTheme="minorEastAsia" w:hAnsiTheme="minorEastAsia"/>
        </w:rPr>
      </w:pPr>
      <w:r>
        <w:rPr>
          <w:rFonts w:hint="eastAsia" w:asciiTheme="minorEastAsia" w:hAnsiTheme="minorEastAsia"/>
        </w:rPr>
        <w:t>标的提供地点：采购人指定地点。</w:t>
      </w:r>
    </w:p>
    <w:p w14:paraId="303AC126">
      <w:pPr>
        <w:numPr>
          <w:ilvl w:val="0"/>
          <w:numId w:val="1"/>
        </w:numPr>
        <w:spacing w:line="360" w:lineRule="auto"/>
        <w:rPr>
          <w:rFonts w:asciiTheme="minorEastAsia" w:hAnsiTheme="minorEastAsia"/>
        </w:rPr>
      </w:pPr>
      <w:r>
        <w:rPr>
          <w:rFonts w:hint="eastAsia" w:asciiTheme="minorEastAsia" w:hAnsiTheme="minorEastAsia"/>
        </w:rPr>
        <w:t>支付期次设置</w:t>
      </w:r>
    </w:p>
    <w:tbl>
      <w:tblPr>
        <w:tblStyle w:val="12"/>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1417"/>
        <w:gridCol w:w="6696"/>
      </w:tblGrid>
      <w:tr w14:paraId="5139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50" w:type="dxa"/>
            <w:vAlign w:val="center"/>
          </w:tcPr>
          <w:p w14:paraId="0A19C14C">
            <w:pPr>
              <w:jc w:val="center"/>
              <w:rPr>
                <w:rFonts w:asciiTheme="minorEastAsia" w:hAnsiTheme="minorEastAsia"/>
                <w:b/>
              </w:rPr>
            </w:pPr>
            <w:r>
              <w:rPr>
                <w:rFonts w:hint="eastAsia" w:asciiTheme="minorEastAsia" w:hAnsiTheme="minorEastAsia"/>
                <w:b/>
              </w:rPr>
              <w:t>支付期次</w:t>
            </w:r>
          </w:p>
        </w:tc>
        <w:tc>
          <w:tcPr>
            <w:tcW w:w="1417" w:type="dxa"/>
            <w:vAlign w:val="center"/>
          </w:tcPr>
          <w:p w14:paraId="6D1D99A5">
            <w:pPr>
              <w:jc w:val="center"/>
              <w:rPr>
                <w:rFonts w:asciiTheme="minorEastAsia" w:hAnsiTheme="minorEastAsia"/>
                <w:b/>
              </w:rPr>
            </w:pPr>
            <w:r>
              <w:rPr>
                <w:rFonts w:hint="eastAsia" w:asciiTheme="minorEastAsia" w:hAnsiTheme="minorEastAsia"/>
                <w:b/>
              </w:rPr>
              <w:t>支付比例%</w:t>
            </w:r>
          </w:p>
        </w:tc>
        <w:tc>
          <w:tcPr>
            <w:tcW w:w="6696" w:type="dxa"/>
            <w:vAlign w:val="center"/>
          </w:tcPr>
          <w:p w14:paraId="2CAD007A">
            <w:pPr>
              <w:jc w:val="center"/>
              <w:rPr>
                <w:rFonts w:asciiTheme="minorEastAsia" w:hAnsiTheme="minorEastAsia"/>
                <w:b/>
              </w:rPr>
            </w:pPr>
            <w:r>
              <w:rPr>
                <w:rFonts w:hint="eastAsia" w:asciiTheme="minorEastAsia" w:hAnsiTheme="minorEastAsia"/>
                <w:b/>
              </w:rPr>
              <w:t>支付说明</w:t>
            </w:r>
          </w:p>
        </w:tc>
      </w:tr>
      <w:tr w14:paraId="014E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350" w:type="dxa"/>
            <w:vAlign w:val="center"/>
          </w:tcPr>
          <w:p w14:paraId="6FCAAE87">
            <w:pPr>
              <w:jc w:val="center"/>
              <w:rPr>
                <w:rFonts w:asciiTheme="minorEastAsia" w:hAnsiTheme="minorEastAsia"/>
                <w:color w:val="FF0000"/>
              </w:rPr>
            </w:pPr>
            <w:r>
              <w:rPr>
                <w:rFonts w:hint="eastAsia" w:asciiTheme="minorEastAsia" w:hAnsiTheme="minorEastAsia"/>
                <w:color w:val="FF0000"/>
              </w:rPr>
              <w:t>1</w:t>
            </w:r>
          </w:p>
        </w:tc>
        <w:tc>
          <w:tcPr>
            <w:tcW w:w="1417" w:type="dxa"/>
            <w:vAlign w:val="center"/>
          </w:tcPr>
          <w:p w14:paraId="40E6B65D">
            <w:pPr>
              <w:jc w:val="center"/>
              <w:rPr>
                <w:rFonts w:asciiTheme="minorEastAsia" w:hAnsiTheme="minorEastAsia"/>
                <w:color w:val="FF0000"/>
              </w:rPr>
            </w:pPr>
          </w:p>
        </w:tc>
        <w:tc>
          <w:tcPr>
            <w:tcW w:w="6696" w:type="dxa"/>
            <w:vAlign w:val="center"/>
          </w:tcPr>
          <w:p w14:paraId="7312A2DC">
            <w:pPr>
              <w:rPr>
                <w:rFonts w:ascii="宋体" w:hAnsi="宋体" w:eastAsia="宋体" w:cs="宋体"/>
              </w:rPr>
            </w:pPr>
            <w:r>
              <w:rPr>
                <w:rFonts w:hint="eastAsia" w:ascii="宋体" w:hAnsi="宋体" w:eastAsia="宋体" w:cs="宋体"/>
              </w:rPr>
              <w:t>1、中标供应商提供中华人民共和国关境内货物的按以下方式付款：</w:t>
            </w:r>
          </w:p>
          <w:p w14:paraId="3AA62355">
            <w:pPr>
              <w:numPr>
                <w:ilvl w:val="0"/>
                <w:numId w:val="3"/>
              </w:numPr>
              <w:rPr>
                <w:rFonts w:ascii="宋体" w:hAnsi="宋体" w:eastAsia="宋体" w:cs="宋体"/>
              </w:rPr>
            </w:pPr>
            <w:r>
              <w:rPr>
                <w:rFonts w:hint="eastAsia" w:ascii="宋体" w:hAnsi="宋体" w:eastAsia="宋体" w:cs="宋体"/>
              </w:rPr>
              <w:t>合同生效后采购人向中标供应商支付合同总价的30%，采购人收到发票后5个工作日内完成支付；</w:t>
            </w:r>
          </w:p>
          <w:p w14:paraId="550CF0E6">
            <w:pPr>
              <w:numPr>
                <w:ilvl w:val="0"/>
                <w:numId w:val="3"/>
              </w:numPr>
              <w:rPr>
                <w:rFonts w:ascii="宋体" w:hAnsi="宋体" w:eastAsia="宋体" w:cs="宋体"/>
              </w:rPr>
            </w:pPr>
            <w:r>
              <w:rPr>
                <w:rFonts w:hint="eastAsia" w:ascii="宋体" w:hAnsi="宋体" w:eastAsia="宋体" w:cs="宋体"/>
              </w:rPr>
              <w:t>全部货物到现场后，采购人向中标供应商支付合同总价的50%，采购人自收到发票后10个工作日内完成支付；</w:t>
            </w:r>
          </w:p>
          <w:p w14:paraId="2A1B40F7">
            <w:pPr>
              <w:numPr>
                <w:ilvl w:val="0"/>
                <w:numId w:val="3"/>
              </w:numPr>
              <w:rPr>
                <w:rFonts w:ascii="宋体" w:hAnsi="宋体" w:eastAsia="宋体" w:cs="宋体"/>
                <w:highlight w:val="none"/>
              </w:rPr>
            </w:pPr>
            <w:r>
              <w:rPr>
                <w:rFonts w:hint="eastAsia" w:ascii="宋体" w:hAnsi="宋体" w:eastAsia="宋体" w:cs="宋体"/>
              </w:rPr>
              <w:t>全部货物</w:t>
            </w:r>
            <w:r>
              <w:rPr>
                <w:rFonts w:hint="eastAsia" w:ascii="宋体" w:hAnsi="宋体" w:eastAsia="宋体" w:cs="宋体"/>
                <w:highlight w:val="none"/>
              </w:rPr>
              <w:t>完成安装、调试并通过验收后，采购人向中标供应商支付合同总价的20%，采购人自收到发票后</w:t>
            </w:r>
            <w:r>
              <w:rPr>
                <w:rFonts w:hint="eastAsia" w:ascii="宋体" w:hAnsi="宋体" w:eastAsia="宋体" w:cs="宋体"/>
                <w:highlight w:val="none"/>
                <w:lang w:val="en-US" w:eastAsia="zh-CN"/>
              </w:rPr>
              <w:t>10</w:t>
            </w:r>
            <w:r>
              <w:rPr>
                <w:rFonts w:hint="eastAsia" w:ascii="宋体" w:hAnsi="宋体" w:eastAsia="宋体" w:cs="宋体"/>
                <w:highlight w:val="none"/>
              </w:rPr>
              <w:t>个工作日内完成支付；</w:t>
            </w:r>
          </w:p>
          <w:p w14:paraId="46E36EDB">
            <w:pPr>
              <w:numPr>
                <w:ilvl w:val="0"/>
                <w:numId w:val="3"/>
              </w:numPr>
              <w:rPr>
                <w:rFonts w:ascii="宋体" w:hAnsi="宋体" w:eastAsia="宋体" w:cs="宋体"/>
                <w:highlight w:val="none"/>
              </w:rPr>
            </w:pPr>
            <w:r>
              <w:rPr>
                <w:rFonts w:hint="eastAsia" w:ascii="宋体" w:hAnsi="宋体" w:eastAsia="宋体" w:cs="宋体"/>
                <w:highlight w:val="none"/>
              </w:rPr>
              <w:t>每笔款项支付前，中标供应商须提交与每笔款项金额相等的发票；</w:t>
            </w:r>
          </w:p>
          <w:p w14:paraId="4231CF9B">
            <w:pPr>
              <w:ind w:left="105"/>
              <w:rPr>
                <w:rFonts w:ascii="宋体" w:hAnsi="宋体" w:eastAsia="宋体" w:cs="宋体"/>
                <w:highlight w:val="none"/>
              </w:rPr>
            </w:pPr>
            <w:r>
              <w:rPr>
                <w:rFonts w:hint="eastAsia" w:ascii="宋体" w:hAnsi="宋体" w:eastAsia="宋体" w:cs="宋体"/>
                <w:highlight w:val="none"/>
              </w:rPr>
              <w:t>（5）支付方式：采用支票、银行汇付（含电汇）等形式。</w:t>
            </w:r>
          </w:p>
          <w:p w14:paraId="176F0323">
            <w:pPr>
              <w:ind w:left="105"/>
              <w:rPr>
                <w:rFonts w:ascii="宋体" w:hAnsi="宋体" w:eastAsia="宋体" w:cs="宋体"/>
                <w:highlight w:val="none"/>
              </w:rPr>
            </w:pPr>
            <w:r>
              <w:rPr>
                <w:rFonts w:hint="eastAsia" w:ascii="宋体" w:hAnsi="宋体" w:eastAsia="宋体" w:cs="宋体"/>
                <w:highlight w:val="none"/>
              </w:rPr>
              <w:t>2、中标供应商提供中华人民共和国关境外货物的按以下方式付款： （1）结算货币：人民币；</w:t>
            </w:r>
          </w:p>
          <w:p w14:paraId="50B1C44F">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）采购人收到进口代理公司提交的预付款保函后，支付合同总价100%预付款给进口代理公司，采购人收到发票后5个工作日内完成支付；</w:t>
            </w:r>
          </w:p>
          <w:p w14:paraId="0642490D">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3</w:t>
            </w:r>
            <w:r>
              <w:rPr>
                <w:rFonts w:hint="eastAsia" w:ascii="宋体" w:hAnsi="宋体" w:eastAsia="宋体" w:cs="宋体"/>
                <w:highlight w:val="none"/>
              </w:rPr>
              <w:t>）进口代理公司收到预付款后5个工作日内，向中标供应商指定的境外供应商支付货款总额的60%；全部货物送达采购人指定地点后10个工作日内，进口代理公司向中标供应商指定的境外供应商支付货款总额的20%；</w:t>
            </w:r>
          </w:p>
          <w:p w14:paraId="0D5A2785">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4</w:t>
            </w:r>
            <w:r>
              <w:rPr>
                <w:rFonts w:hint="eastAsia" w:ascii="宋体" w:hAnsi="宋体" w:eastAsia="宋体" w:cs="宋体"/>
                <w:highlight w:val="none"/>
              </w:rPr>
              <w:t>）全部货物完成安装、调试并通过验收后，进口代理公司向中标供应商指定的境外供应商支付货款总额的20%；</w:t>
            </w:r>
          </w:p>
          <w:p w14:paraId="01F82351">
            <w:pPr>
              <w:ind w:left="105"/>
              <w:rPr>
                <w:rFonts w:asciiTheme="minorEastAsia" w:hAnsiTheme="minorEastAsia"/>
              </w:rPr>
            </w:pPr>
            <w:r>
              <w:rPr>
                <w:rFonts w:hint="eastAsia" w:ascii="宋体" w:hAnsi="宋体" w:eastAsia="宋体" w:cs="宋体"/>
                <w:highlight w:val="none"/>
              </w:rPr>
              <w:t>（</w:t>
            </w:r>
            <w:r>
              <w:rPr>
                <w:rFonts w:hint="eastAsia" w:ascii="宋体" w:hAnsi="宋体" w:eastAsia="宋体" w:cs="宋体"/>
                <w:highlight w:val="none"/>
                <w:lang w:val="en-US" w:eastAsia="zh-CN"/>
              </w:rPr>
              <w:t>5</w:t>
            </w:r>
            <w:r>
              <w:rPr>
                <w:rFonts w:hint="eastAsia" w:ascii="宋体" w:hAnsi="宋体" w:eastAsia="宋体" w:cs="宋体"/>
                <w:highlight w:val="none"/>
              </w:rPr>
              <w:t>）进口代理公司上交进口货物的进口所有单证、代理进口业务发票的原件、外商发票的原件、付汇水单的</w:t>
            </w:r>
            <w:r>
              <w:rPr>
                <w:rFonts w:hint="eastAsia" w:ascii="宋体" w:hAnsi="宋体" w:eastAsia="宋体" w:cs="宋体"/>
              </w:rPr>
              <w:t>复印件（加盖进口代理公司的公章）给采购人。</w:t>
            </w:r>
          </w:p>
        </w:tc>
      </w:tr>
    </w:tbl>
    <w:p w14:paraId="0420DA36">
      <w:pPr>
        <w:numPr>
          <w:ilvl w:val="0"/>
          <w:numId w:val="1"/>
        </w:numPr>
        <w:spacing w:line="360" w:lineRule="auto"/>
        <w:rPr>
          <w:rFonts w:asciiTheme="minorEastAsia" w:hAnsiTheme="minorEastAsia"/>
        </w:rPr>
      </w:pPr>
      <w:r>
        <w:rPr>
          <w:rFonts w:asciiTheme="minorEastAsia" w:hAnsiTheme="minorEastAsia"/>
        </w:rPr>
        <w:t>验收要求</w:t>
      </w:r>
    </w:p>
    <w:tbl>
      <w:tblPr>
        <w:tblStyle w:val="12"/>
        <w:tblW w:w="10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9266"/>
      </w:tblGrid>
      <w:tr w14:paraId="41EB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 w:hRule="atLeast"/>
          <w:jc w:val="center"/>
        </w:trPr>
        <w:tc>
          <w:tcPr>
            <w:tcW w:w="1207" w:type="dxa"/>
            <w:vAlign w:val="center"/>
          </w:tcPr>
          <w:p w14:paraId="03872F45">
            <w:pPr>
              <w:jc w:val="center"/>
              <w:rPr>
                <w:rFonts w:asciiTheme="minorEastAsia" w:hAnsiTheme="minorEastAsia"/>
                <w:b/>
              </w:rPr>
            </w:pPr>
            <w:r>
              <w:rPr>
                <w:rFonts w:hint="eastAsia" w:asciiTheme="minorEastAsia" w:hAnsiTheme="minorEastAsia"/>
                <w:b/>
              </w:rPr>
              <w:t>验收期次</w:t>
            </w:r>
          </w:p>
        </w:tc>
        <w:tc>
          <w:tcPr>
            <w:tcW w:w="9266" w:type="dxa"/>
            <w:vAlign w:val="center"/>
          </w:tcPr>
          <w:p w14:paraId="5201351C">
            <w:pPr>
              <w:jc w:val="center"/>
              <w:rPr>
                <w:rFonts w:asciiTheme="minorEastAsia" w:hAnsiTheme="minorEastAsia"/>
                <w:b/>
              </w:rPr>
            </w:pPr>
            <w:r>
              <w:rPr>
                <w:rFonts w:hint="eastAsia" w:asciiTheme="minorEastAsia" w:hAnsiTheme="minorEastAsia"/>
                <w:b/>
              </w:rPr>
              <w:t>验收期次说明</w:t>
            </w:r>
          </w:p>
        </w:tc>
      </w:tr>
      <w:tr w14:paraId="2E0A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07" w:type="dxa"/>
            <w:vAlign w:val="center"/>
          </w:tcPr>
          <w:p w14:paraId="093E87C8">
            <w:pPr>
              <w:jc w:val="center"/>
              <w:rPr>
                <w:rFonts w:asciiTheme="minorEastAsia" w:hAnsiTheme="minorEastAsia"/>
                <w:color w:val="FF0000"/>
              </w:rPr>
            </w:pPr>
            <w:r>
              <w:rPr>
                <w:rFonts w:hint="eastAsia" w:asciiTheme="minorEastAsia" w:hAnsiTheme="minorEastAsia"/>
                <w:color w:val="FF0000"/>
              </w:rPr>
              <w:t>1</w:t>
            </w:r>
          </w:p>
        </w:tc>
        <w:tc>
          <w:tcPr>
            <w:tcW w:w="9266" w:type="dxa"/>
            <w:vAlign w:val="center"/>
          </w:tcPr>
          <w:p w14:paraId="09337348">
            <w:pPr>
              <w:numPr>
                <w:ilvl w:val="0"/>
                <w:numId w:val="4"/>
              </w:numPr>
              <w:spacing w:line="360" w:lineRule="auto"/>
              <w:rPr>
                <w:rFonts w:cs="宋体" w:asciiTheme="minorEastAsia" w:hAnsiTheme="minorEastAsia"/>
                <w:szCs w:val="21"/>
              </w:rPr>
            </w:pPr>
            <w:r>
              <w:rPr>
                <w:rFonts w:cs="宋体" w:asciiTheme="minorEastAsia" w:hAnsiTheme="minorEastAsia"/>
                <w:szCs w:val="21"/>
              </w:rPr>
              <w:t>采购人按照采购合同规定的技术、服务、安全标准组织对中标供应商履约情况进行验收，并出具验收书。验收书应当包括每一项技术、服务、安全标准的履约情况。</w:t>
            </w:r>
          </w:p>
          <w:p w14:paraId="49681136">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交付验收标准对照适用标准为</w:t>
            </w:r>
            <w:r>
              <w:rPr>
                <w:rFonts w:cs="宋体" w:asciiTheme="minorEastAsia" w:hAnsiTheme="minorEastAsia"/>
                <w:szCs w:val="21"/>
              </w:rPr>
              <w:t>：</w:t>
            </w:r>
            <w:r>
              <w:rPr>
                <w:rFonts w:hint="eastAsia" w:cs="宋体" w:asciiTheme="minorEastAsia" w:hAnsiTheme="minorEastAsia"/>
                <w:szCs w:val="21"/>
              </w:rPr>
              <w:t>符合项目采购文件和投标承诺中采购人认可的合理最佳配置、参数及各项要求</w:t>
            </w:r>
            <w:r>
              <w:rPr>
                <w:rFonts w:cs="宋体" w:asciiTheme="minorEastAsia" w:hAnsiTheme="minorEastAsia"/>
                <w:szCs w:val="21"/>
              </w:rPr>
              <w:t>。</w:t>
            </w:r>
          </w:p>
          <w:p w14:paraId="0C0D6ADA">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货物为原厂商未启封全新包装，具有出厂合格证，序列号、包装箱号与出厂批号一致，并可追溯查阅。所有随设备的附件必须齐全</w:t>
            </w:r>
            <w:r>
              <w:rPr>
                <w:rFonts w:cs="宋体" w:asciiTheme="minorEastAsia" w:hAnsiTheme="minorEastAsia"/>
                <w:szCs w:val="21"/>
              </w:rPr>
              <w:t>。</w:t>
            </w:r>
          </w:p>
          <w:p w14:paraId="0CA2C6C5">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中标供应商将货物的用户手册、保修手册、有关单证资料及备品备件、随机工具等交付给采购人，使用操作及安全须知等重要资料应附有中文说明</w:t>
            </w:r>
            <w:r>
              <w:rPr>
                <w:rFonts w:cs="宋体" w:asciiTheme="minorEastAsia" w:hAnsiTheme="minorEastAsia"/>
                <w:szCs w:val="21"/>
              </w:rPr>
              <w:t>。</w:t>
            </w:r>
          </w:p>
          <w:p w14:paraId="1B5B24A3">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货物验收所发生的检验费用由中标供应商负担</w:t>
            </w:r>
            <w:r>
              <w:rPr>
                <w:rFonts w:cs="宋体" w:asciiTheme="minorEastAsia" w:hAnsiTheme="minorEastAsia"/>
                <w:szCs w:val="21"/>
              </w:rPr>
              <w:t>。</w:t>
            </w:r>
          </w:p>
          <w:p w14:paraId="1B5A1D4F">
            <w:pPr>
              <w:numPr>
                <w:ilvl w:val="0"/>
                <w:numId w:val="4"/>
              </w:numPr>
              <w:spacing w:line="360" w:lineRule="auto"/>
              <w:rPr>
                <w:rFonts w:cs="宋体" w:asciiTheme="minorEastAsia" w:hAnsiTheme="minorEastAsia"/>
                <w:szCs w:val="21"/>
              </w:rPr>
            </w:pPr>
            <w:r>
              <w:rPr>
                <w:rFonts w:cs="宋体" w:asciiTheme="minorEastAsia" w:hAnsiTheme="minorEastAsia"/>
                <w:szCs w:val="21"/>
              </w:rPr>
              <w:t>进口产品的必须具备原产地证明和商检局（如海关要求）的检验证明及合法进货渠道证明</w:t>
            </w:r>
            <w:r>
              <w:rPr>
                <w:rFonts w:hint="eastAsia" w:cs="宋体" w:asciiTheme="minorEastAsia" w:hAnsiTheme="minorEastAsia"/>
                <w:szCs w:val="21"/>
              </w:rPr>
              <w:t>。</w:t>
            </w:r>
          </w:p>
          <w:p w14:paraId="0000940C">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设备到货并经中标供应商技术人员安装后，采购人有权委托中国有资格的单位对上述设备进行校准或检验，设备校准或检定所需的费用由中标供应商负担。</w:t>
            </w:r>
          </w:p>
          <w:p w14:paraId="08A099DD">
            <w:pPr>
              <w:numPr>
                <w:ilvl w:val="0"/>
                <w:numId w:val="4"/>
              </w:numPr>
              <w:spacing w:line="360" w:lineRule="auto"/>
              <w:rPr>
                <w:rFonts w:cs="宋体" w:asciiTheme="minorEastAsia" w:hAnsiTheme="minorEastAsia"/>
                <w:szCs w:val="21"/>
              </w:rPr>
            </w:pPr>
            <w:r>
              <w:rPr>
                <w:rFonts w:cs="宋体" w:asciiTheme="minorEastAsia" w:hAnsiTheme="minorEastAsia"/>
                <w:szCs w:val="21"/>
              </w:rPr>
              <w:t>采购人组成验收小组，按照采购合同规定的技术、服务、安全标准组织对中标供应商履约情况进行验收。因货物质量问题发生争议时，由采购人</w:t>
            </w:r>
            <w:r>
              <w:rPr>
                <w:rFonts w:hint="eastAsia" w:cs="宋体" w:asciiTheme="minorEastAsia" w:hAnsiTheme="minorEastAsia"/>
                <w:szCs w:val="21"/>
              </w:rPr>
              <w:t>本地市场监督管理部门鉴定</w:t>
            </w:r>
            <w:r>
              <w:rPr>
                <w:rFonts w:cs="宋体" w:asciiTheme="minorEastAsia" w:hAnsiTheme="minorEastAsia"/>
                <w:szCs w:val="21"/>
              </w:rPr>
              <w:t>。货物符合质量技术标准的，鉴定费由采购人承担；否则鉴定费由中标供应商承担，并严格按合同要求直至满足合格的验收标准为止。同时采购人有权委托中国有资格的单位对上述设备进行校准或检验，设备校准或检定所需的费用由中标供应商负担。</w:t>
            </w:r>
          </w:p>
          <w:p w14:paraId="1263CC10">
            <w:pPr>
              <w:numPr>
                <w:ilvl w:val="0"/>
                <w:numId w:val="4"/>
              </w:numPr>
              <w:spacing w:line="360" w:lineRule="auto"/>
              <w:rPr>
                <w:rFonts w:cs="宋体" w:asciiTheme="minorEastAsia" w:hAnsiTheme="minorEastAsia"/>
                <w:szCs w:val="21"/>
              </w:rPr>
            </w:pPr>
            <w:r>
              <w:rPr>
                <w:rFonts w:hint="eastAsia" w:cs="宋体" w:asciiTheme="minorEastAsia" w:hAnsiTheme="minorEastAsia"/>
                <w:szCs w:val="21"/>
              </w:rPr>
              <w:t>当出现不合格产品时，中标供应商要无条件更换合格产品。除采购人认可，否则不接受任何形式的降格处理</w:t>
            </w:r>
            <w:r>
              <w:rPr>
                <w:rFonts w:cs="宋体" w:asciiTheme="minorEastAsia" w:hAnsiTheme="minorEastAsia"/>
                <w:szCs w:val="21"/>
              </w:rPr>
              <w:t>。</w:t>
            </w:r>
          </w:p>
          <w:p w14:paraId="60D69EDF">
            <w:pPr>
              <w:numPr>
                <w:ilvl w:val="0"/>
                <w:numId w:val="4"/>
              </w:numPr>
              <w:spacing w:line="360" w:lineRule="auto"/>
              <w:rPr>
                <w:rFonts w:cs="宋体" w:asciiTheme="minorEastAsia" w:hAnsiTheme="minorEastAsia"/>
                <w:szCs w:val="21"/>
              </w:rPr>
            </w:pPr>
            <w:r>
              <w:rPr>
                <w:rFonts w:cs="宋体" w:asciiTheme="minorEastAsia" w:hAnsiTheme="minorEastAsia"/>
                <w:szCs w:val="21"/>
              </w:rPr>
              <w:t>采购人在收到中标供应商验收申请后7日内组织履约验收。</w:t>
            </w:r>
          </w:p>
        </w:tc>
      </w:tr>
    </w:tbl>
    <w:p w14:paraId="280C8A90">
      <w:pPr>
        <w:numPr>
          <w:ilvl w:val="0"/>
          <w:numId w:val="1"/>
        </w:numPr>
        <w:spacing w:line="360" w:lineRule="auto"/>
        <w:rPr>
          <w:rFonts w:asciiTheme="minorEastAsia" w:hAnsiTheme="minorEastAsia"/>
        </w:rPr>
      </w:pPr>
      <w:r>
        <w:rPr>
          <w:rFonts w:hint="eastAsia" w:asciiTheme="minorEastAsia" w:hAnsiTheme="minorEastAsia"/>
        </w:rPr>
        <w:t>供应商响应设置</w:t>
      </w:r>
    </w:p>
    <w:p w14:paraId="67B7FA19">
      <w:pPr>
        <w:spacing w:line="360" w:lineRule="auto"/>
        <w:ind w:left="420"/>
        <w:rPr>
          <w:rFonts w:asciiTheme="minorEastAsia" w:hAnsiTheme="minorEastAsia"/>
        </w:rPr>
      </w:pPr>
      <w:r>
        <w:rPr>
          <w:rFonts w:hint="eastAsia" w:asciiTheme="minorEastAsia" w:hAnsiTheme="minorEastAsia"/>
        </w:rPr>
        <w:t>是否允许供应商分项报价进行细化： 是</w:t>
      </w:r>
    </w:p>
    <w:p w14:paraId="434FD4BF">
      <w:pPr>
        <w:numPr>
          <w:ilvl w:val="0"/>
          <w:numId w:val="1"/>
        </w:numPr>
        <w:spacing w:line="360" w:lineRule="auto"/>
        <w:rPr>
          <w:rFonts w:asciiTheme="minorEastAsia" w:hAnsiTheme="minorEastAsia"/>
        </w:rPr>
      </w:pPr>
      <w:r>
        <w:rPr>
          <w:rFonts w:asciiTheme="minorEastAsia" w:hAnsiTheme="minorEastAsia"/>
        </w:rPr>
        <w:t>其他信息</w:t>
      </w:r>
    </w:p>
    <w:tbl>
      <w:tblPr>
        <w:tblStyle w:val="12"/>
        <w:tblW w:w="10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9236"/>
      </w:tblGrid>
      <w:tr w14:paraId="0610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260" w:type="dxa"/>
            <w:vAlign w:val="center"/>
          </w:tcPr>
          <w:p w14:paraId="0082E612">
            <w:pPr>
              <w:jc w:val="center"/>
              <w:rPr>
                <w:rFonts w:asciiTheme="minorEastAsia" w:hAnsiTheme="minorEastAsia"/>
                <w:b/>
              </w:rPr>
            </w:pPr>
            <w:r>
              <w:rPr>
                <w:rFonts w:hint="eastAsia" w:asciiTheme="minorEastAsia" w:hAnsiTheme="minorEastAsia"/>
                <w:b/>
              </w:rPr>
              <w:t>内容明细</w:t>
            </w:r>
          </w:p>
        </w:tc>
        <w:tc>
          <w:tcPr>
            <w:tcW w:w="9236" w:type="dxa"/>
            <w:vAlign w:val="center"/>
          </w:tcPr>
          <w:p w14:paraId="234B4892">
            <w:pPr>
              <w:jc w:val="center"/>
              <w:rPr>
                <w:rFonts w:asciiTheme="minorEastAsia" w:hAnsiTheme="minorEastAsia"/>
                <w:b/>
              </w:rPr>
            </w:pPr>
            <w:r>
              <w:rPr>
                <w:rFonts w:hint="eastAsia" w:asciiTheme="minorEastAsia" w:hAnsiTheme="minorEastAsia"/>
                <w:b/>
              </w:rPr>
              <w:t>内容说明</w:t>
            </w:r>
          </w:p>
        </w:tc>
      </w:tr>
      <w:tr w14:paraId="1AF0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75ADCFF3">
            <w:pPr>
              <w:jc w:val="center"/>
              <w:rPr>
                <w:rFonts w:asciiTheme="minorEastAsia" w:hAnsiTheme="minorEastAsia"/>
                <w:b/>
              </w:rPr>
            </w:pPr>
            <w:r>
              <w:rPr>
                <w:rFonts w:hint="eastAsia" w:asciiTheme="minorEastAsia" w:hAnsiTheme="minorEastAsia"/>
                <w:b/>
              </w:rPr>
              <w:t>包装与运输</w:t>
            </w:r>
          </w:p>
        </w:tc>
        <w:tc>
          <w:tcPr>
            <w:tcW w:w="9236" w:type="dxa"/>
            <w:vAlign w:val="center"/>
          </w:tcPr>
          <w:p w14:paraId="67D80D60">
            <w:pPr>
              <w:spacing w:line="360" w:lineRule="auto"/>
              <w:rPr>
                <w:rFonts w:cs="宋体" w:asciiTheme="minorEastAsia" w:hAnsiTheme="minorEastAsia"/>
                <w:szCs w:val="21"/>
              </w:rPr>
            </w:pPr>
            <w:r>
              <w:rPr>
                <w:rFonts w:hint="eastAsia" w:cs="宋体" w:asciiTheme="minorEastAsia" w:hAnsiTheme="minorEastAsia"/>
                <w:szCs w:val="21"/>
              </w:rPr>
              <w:t>包装箱应用坚固的材料制造，适用长途运输、防潮、防锈、防震、防粗暴装卸，适于空运和整体吊装，并注明起吊位置，起吊重量及重心位置。</w:t>
            </w:r>
          </w:p>
        </w:tc>
      </w:tr>
      <w:tr w14:paraId="094A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06FF23D9">
            <w:pPr>
              <w:jc w:val="center"/>
              <w:rPr>
                <w:rFonts w:asciiTheme="minorEastAsia" w:hAnsiTheme="minorEastAsia"/>
                <w:b/>
              </w:rPr>
            </w:pPr>
            <w:r>
              <w:rPr>
                <w:rFonts w:hint="eastAsia" w:asciiTheme="minorEastAsia" w:hAnsiTheme="minorEastAsia"/>
                <w:b/>
              </w:rPr>
              <w:t>保险</w:t>
            </w:r>
          </w:p>
        </w:tc>
        <w:tc>
          <w:tcPr>
            <w:tcW w:w="9236" w:type="dxa"/>
            <w:vAlign w:val="center"/>
          </w:tcPr>
          <w:p w14:paraId="516ED99E">
            <w:pPr>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货物从出厂运至采购人指定地点的保险费用须包含在投标报价中。</w:t>
            </w:r>
          </w:p>
        </w:tc>
      </w:tr>
      <w:tr w14:paraId="76F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1CB3EC65">
            <w:pPr>
              <w:jc w:val="center"/>
              <w:rPr>
                <w:rFonts w:asciiTheme="minorEastAsia" w:hAnsiTheme="minorEastAsia"/>
              </w:rPr>
            </w:pPr>
            <w:r>
              <w:rPr>
                <w:rFonts w:hint="eastAsia" w:cs="宋体" w:asciiTheme="minorEastAsia" w:hAnsiTheme="minorEastAsia"/>
                <w:b/>
              </w:rPr>
              <w:t>安装与调试</w:t>
            </w:r>
          </w:p>
        </w:tc>
        <w:tc>
          <w:tcPr>
            <w:tcW w:w="9236" w:type="dxa"/>
            <w:vAlign w:val="center"/>
          </w:tcPr>
          <w:p w14:paraId="46FE891B">
            <w:pPr>
              <w:numPr>
                <w:ilvl w:val="1"/>
                <w:numId w:val="5"/>
              </w:numPr>
              <w:spacing w:line="360" w:lineRule="auto"/>
              <w:ind w:left="424" w:hanging="424" w:hangingChars="202"/>
              <w:rPr>
                <w:rFonts w:cs="宋体" w:asciiTheme="minorEastAsia" w:hAnsiTheme="minorEastAsia"/>
                <w:szCs w:val="21"/>
              </w:rPr>
            </w:pPr>
            <w:r>
              <w:t>中标供应商必须按项目进度安排计划，并根据本项目实际情况委派所需技术人员到安装现场负责安装和调试工作。在安装施工期间，严格遵守采购人的有关规定</w:t>
            </w:r>
            <w:r>
              <w:rPr>
                <w:rFonts w:hint="eastAsia" w:cs="宋体" w:asciiTheme="minorEastAsia" w:hAnsiTheme="minorEastAsia"/>
                <w:szCs w:val="21"/>
              </w:rPr>
              <w:t>。</w:t>
            </w:r>
          </w:p>
          <w:p w14:paraId="46C626D9">
            <w:pPr>
              <w:numPr>
                <w:ilvl w:val="1"/>
                <w:numId w:val="5"/>
              </w:numPr>
              <w:spacing w:line="360" w:lineRule="auto"/>
              <w:ind w:left="424" w:hanging="424" w:hangingChars="202"/>
              <w:rPr>
                <w:rFonts w:cs="宋体" w:asciiTheme="minorEastAsia" w:hAnsiTheme="minorEastAsia"/>
                <w:szCs w:val="21"/>
              </w:rPr>
            </w:pPr>
            <w:r>
              <w:t>中标供应商必须依照项目采购文件的要求和投标文件的承诺，将设备、系统安装并调试至正常运行的最佳状态</w:t>
            </w:r>
            <w:r>
              <w:rPr>
                <w:rFonts w:hint="eastAsia" w:cs="宋体" w:asciiTheme="minorEastAsia" w:hAnsiTheme="minorEastAsia"/>
                <w:szCs w:val="21"/>
              </w:rPr>
              <w:t>。</w:t>
            </w:r>
          </w:p>
        </w:tc>
      </w:tr>
      <w:tr w14:paraId="681F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65094610">
            <w:pPr>
              <w:spacing w:line="360" w:lineRule="auto"/>
              <w:jc w:val="center"/>
              <w:rPr>
                <w:rFonts w:cs="宋体" w:asciiTheme="minorEastAsia" w:hAnsiTheme="minorEastAsia"/>
                <w:szCs w:val="24"/>
              </w:rPr>
            </w:pPr>
            <w:r>
              <w:rPr>
                <w:rFonts w:hint="eastAsia" w:cs="宋体" w:asciiTheme="minorEastAsia" w:hAnsiTheme="minorEastAsia"/>
                <w:b/>
                <w:szCs w:val="24"/>
              </w:rPr>
              <w:t>技术培训</w:t>
            </w:r>
          </w:p>
        </w:tc>
        <w:tc>
          <w:tcPr>
            <w:tcW w:w="9236" w:type="dxa"/>
            <w:vAlign w:val="center"/>
          </w:tcPr>
          <w:p w14:paraId="27AA695E">
            <w:pPr>
              <w:numPr>
                <w:ilvl w:val="1"/>
                <w:numId w:val="6"/>
              </w:numPr>
              <w:spacing w:line="360" w:lineRule="auto"/>
              <w:ind w:left="424" w:hanging="424" w:hangingChars="202"/>
              <w:rPr>
                <w:rFonts w:cs="宋体" w:asciiTheme="minorEastAsia" w:hAnsiTheme="minorEastAsia"/>
                <w:szCs w:val="21"/>
              </w:rPr>
            </w:pPr>
            <w:r>
              <w:t>中标供应商须对每台设备提供现场安装调试和培训</w:t>
            </w:r>
            <w:r>
              <w:rPr>
                <w:rFonts w:hint="eastAsia" w:cs="宋体" w:asciiTheme="minorEastAsia" w:hAnsiTheme="minorEastAsia"/>
                <w:szCs w:val="21"/>
              </w:rPr>
              <w:t>。</w:t>
            </w:r>
          </w:p>
          <w:p w14:paraId="61AD1AE7">
            <w:pPr>
              <w:numPr>
                <w:ilvl w:val="1"/>
                <w:numId w:val="6"/>
              </w:numPr>
              <w:spacing w:line="360" w:lineRule="auto"/>
              <w:ind w:left="424" w:hanging="424" w:hangingChars="202"/>
              <w:rPr>
                <w:rFonts w:cs="宋体" w:asciiTheme="minorEastAsia" w:hAnsiTheme="minorEastAsia"/>
                <w:szCs w:val="21"/>
              </w:rPr>
            </w:pPr>
            <w:r>
              <w:t>应提供完整的培训计划和方案，列明培训人员数量、达到的水平等，培训内容包括设备的操作、日常维修、简单故障的识别及排除等。培训所需全部费用均由中标供应商负责</w:t>
            </w:r>
            <w:r>
              <w:rPr>
                <w:rFonts w:hint="eastAsia" w:cs="宋体" w:asciiTheme="minorEastAsia" w:hAnsiTheme="minorEastAsia"/>
                <w:szCs w:val="21"/>
              </w:rPr>
              <w:t>。</w:t>
            </w:r>
          </w:p>
        </w:tc>
      </w:tr>
      <w:tr w14:paraId="17D9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1FD29921">
            <w:pPr>
              <w:spacing w:line="360" w:lineRule="auto"/>
              <w:jc w:val="center"/>
              <w:rPr>
                <w:rFonts w:cs="宋体" w:asciiTheme="minorEastAsia" w:hAnsiTheme="minorEastAsia"/>
                <w:b/>
              </w:rPr>
            </w:pPr>
            <w:r>
              <w:rPr>
                <w:rFonts w:hint="eastAsia" w:cs="宋体" w:asciiTheme="minorEastAsia" w:hAnsiTheme="minorEastAsia"/>
                <w:b/>
              </w:rPr>
              <w:t>质量保证期</w:t>
            </w:r>
          </w:p>
        </w:tc>
        <w:tc>
          <w:tcPr>
            <w:tcW w:w="9236" w:type="dxa"/>
            <w:vAlign w:val="center"/>
          </w:tcPr>
          <w:p w14:paraId="356D240F">
            <w:pPr>
              <w:numPr>
                <w:ilvl w:val="1"/>
                <w:numId w:val="7"/>
              </w:numPr>
              <w:spacing w:line="360" w:lineRule="auto"/>
              <w:ind w:left="424" w:hanging="424" w:hangingChars="202"/>
              <w:rPr>
                <w:rFonts w:cs="宋体" w:asciiTheme="minorEastAsia" w:hAnsiTheme="minorEastAsia"/>
                <w:szCs w:val="21"/>
              </w:rPr>
            </w:pPr>
            <w:r>
              <w:rPr>
                <w:rFonts w:hint="eastAsia" w:cs="宋体" w:asciiTheme="minorEastAsia" w:hAnsiTheme="minorEastAsia"/>
                <w:szCs w:val="21"/>
              </w:rPr>
              <w:t>质量保证期1年。并提供终身维修服务。保修期内，所有服务及配件全部包含在报价中。</w:t>
            </w:r>
            <w:r>
              <w:rPr>
                <w:rFonts w:hint="eastAsia" w:cs="宋体" w:asciiTheme="minorEastAsia" w:hAnsiTheme="minorEastAsia"/>
                <w:b/>
                <w:szCs w:val="24"/>
              </w:rPr>
              <w:t>“技术标准与要求”中另有要求的，以其中的要求为准。</w:t>
            </w:r>
          </w:p>
          <w:p w14:paraId="34E95EFF">
            <w:pPr>
              <w:numPr>
                <w:ilvl w:val="1"/>
                <w:numId w:val="7"/>
              </w:numPr>
              <w:spacing w:line="360" w:lineRule="auto"/>
              <w:ind w:left="424" w:hanging="424" w:hangingChars="202"/>
              <w:rPr>
                <w:rFonts w:cs="宋体" w:asciiTheme="minorEastAsia" w:hAnsiTheme="minorEastAsia"/>
                <w:szCs w:val="21"/>
              </w:rPr>
            </w:pPr>
            <w:r>
              <w:t>质量保证期自采购人和中标供应商代表在货物安装调试验收后的验收书上签字之日起计算。质量保证期内中标供应商对所供货物实行包修、包换、包退、包维护保养，保修期后设备维修配件更换只收取成本费用</w:t>
            </w:r>
            <w:r>
              <w:rPr>
                <w:rFonts w:hint="eastAsia" w:cs="宋体" w:asciiTheme="minorEastAsia" w:hAnsiTheme="minorEastAsia"/>
                <w:szCs w:val="21"/>
              </w:rPr>
              <w:t>。</w:t>
            </w:r>
          </w:p>
          <w:p w14:paraId="3076B4D6">
            <w:pPr>
              <w:numPr>
                <w:ilvl w:val="1"/>
                <w:numId w:val="7"/>
              </w:numPr>
              <w:spacing w:line="360" w:lineRule="auto"/>
              <w:ind w:left="424" w:hanging="424" w:hangingChars="202"/>
              <w:rPr>
                <w:rFonts w:cs="宋体" w:asciiTheme="minorEastAsia" w:hAnsiTheme="minorEastAsia"/>
                <w:szCs w:val="21"/>
              </w:rPr>
            </w:pPr>
            <w:r>
              <w:t>质量保证期内，如设备或零部件因非人为因素出现故障而造成短期停用时，则质量保证期相应顺延。如停用时间累计超过60天则质量保证期重新计算</w:t>
            </w:r>
            <w:r>
              <w:rPr>
                <w:rFonts w:hint="eastAsia" w:cs="宋体" w:asciiTheme="minorEastAsia" w:hAnsiTheme="minorEastAsia"/>
                <w:szCs w:val="21"/>
              </w:rPr>
              <w:t>。</w:t>
            </w:r>
          </w:p>
          <w:p w14:paraId="7F8D778A">
            <w:pPr>
              <w:numPr>
                <w:ilvl w:val="1"/>
                <w:numId w:val="7"/>
              </w:numPr>
              <w:spacing w:line="360" w:lineRule="auto"/>
              <w:ind w:left="424" w:hanging="424" w:hangingChars="202"/>
              <w:rPr>
                <w:rFonts w:cs="宋体" w:asciiTheme="minorEastAsia" w:hAnsiTheme="minorEastAsia"/>
                <w:szCs w:val="21"/>
              </w:rPr>
            </w:pPr>
            <w:r>
              <w:t>在质量保证期内，如货品非因采购人的人为原因而出现的问题由中标供应商负责保修、包换或包退，并承担修理、调换或退货的实际费用</w:t>
            </w:r>
            <w:r>
              <w:rPr>
                <w:rFonts w:hint="eastAsia" w:cs="宋体" w:asciiTheme="minorEastAsia" w:hAnsiTheme="minorEastAsia"/>
                <w:szCs w:val="21"/>
              </w:rPr>
              <w:t>。</w:t>
            </w:r>
          </w:p>
          <w:p w14:paraId="2E479701">
            <w:pPr>
              <w:numPr>
                <w:ilvl w:val="1"/>
                <w:numId w:val="7"/>
              </w:numPr>
              <w:spacing w:line="360" w:lineRule="auto"/>
              <w:ind w:left="424" w:hanging="424" w:hangingChars="202"/>
              <w:rPr>
                <w:rFonts w:cs="宋体" w:asciiTheme="minorEastAsia" w:hAnsiTheme="minorEastAsia"/>
                <w:szCs w:val="21"/>
              </w:rPr>
            </w:pPr>
            <w:r>
              <w:t>质量保证期内，中标供应商负责对其提供的货物整机进行维修和系统维护，不再收取任何费用，但非中标供应商责任的人为因素、自然因素（如火灾、雷击等）造成的故障除外</w:t>
            </w:r>
            <w:r>
              <w:rPr>
                <w:rFonts w:hint="eastAsia" w:cs="宋体" w:asciiTheme="minorEastAsia" w:hAnsiTheme="minorEastAsia"/>
                <w:szCs w:val="21"/>
              </w:rPr>
              <w:t>。</w:t>
            </w:r>
          </w:p>
          <w:p w14:paraId="578AD2EE">
            <w:pPr>
              <w:numPr>
                <w:ilvl w:val="1"/>
                <w:numId w:val="7"/>
              </w:numPr>
              <w:spacing w:line="360" w:lineRule="auto"/>
              <w:ind w:left="424" w:hanging="424" w:hangingChars="202"/>
              <w:rPr>
                <w:rFonts w:cs="宋体" w:asciiTheme="minorEastAsia" w:hAnsiTheme="minorEastAsia"/>
                <w:szCs w:val="21"/>
              </w:rPr>
            </w:pPr>
            <w:r>
              <w:t>质量保证期间，同一货物三个月内累计出现2次故障或同一硬件一个月内连续出现2次故障，中标供应商须更换同型号货物，因此而产生的一切经济成本均由供应商自行承担</w:t>
            </w:r>
            <w:r>
              <w:rPr>
                <w:rFonts w:hint="eastAsia" w:cs="宋体" w:asciiTheme="minorEastAsia" w:hAnsiTheme="minorEastAsia"/>
                <w:szCs w:val="21"/>
              </w:rPr>
              <w:t>。</w:t>
            </w:r>
          </w:p>
          <w:p w14:paraId="155354A8">
            <w:pPr>
              <w:numPr>
                <w:ilvl w:val="1"/>
                <w:numId w:val="7"/>
              </w:numPr>
              <w:spacing w:line="360" w:lineRule="auto"/>
              <w:ind w:left="424" w:hanging="424" w:hangingChars="202"/>
              <w:rPr>
                <w:rFonts w:cs="宋体" w:asciiTheme="minorEastAsia" w:hAnsiTheme="minorEastAsia"/>
                <w:szCs w:val="21"/>
              </w:rPr>
            </w:pPr>
            <w:r>
              <w:t>投标人需按采购需求中《备品备件报价表附表》格式提供质保期后运行2年所需的备品备件的清单和价格，并承诺在质保期满后5年内不高于上述清单的价格，此报价不计入投标总价。</w:t>
            </w:r>
          </w:p>
        </w:tc>
      </w:tr>
      <w:tr w14:paraId="1F77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260" w:type="dxa"/>
            <w:vAlign w:val="center"/>
          </w:tcPr>
          <w:p w14:paraId="7EC68103">
            <w:pPr>
              <w:spacing w:line="360" w:lineRule="auto"/>
              <w:jc w:val="center"/>
              <w:rPr>
                <w:rFonts w:cs="宋体" w:asciiTheme="minorEastAsia" w:hAnsiTheme="minorEastAsia"/>
                <w:b/>
                <w:szCs w:val="24"/>
              </w:rPr>
            </w:pPr>
            <w:r>
              <w:rPr>
                <w:rFonts w:hint="eastAsia" w:cs="宋体" w:asciiTheme="minorEastAsia" w:hAnsiTheme="minorEastAsia"/>
                <w:b/>
                <w:szCs w:val="24"/>
              </w:rPr>
              <w:t>售后服务</w:t>
            </w:r>
          </w:p>
        </w:tc>
        <w:tc>
          <w:tcPr>
            <w:tcW w:w="9236" w:type="dxa"/>
            <w:vAlign w:val="center"/>
          </w:tcPr>
          <w:p w14:paraId="3CCB40EF">
            <w:pPr>
              <w:tabs>
                <w:tab w:val="left" w:pos="709"/>
              </w:tabs>
              <w:spacing w:line="360" w:lineRule="auto"/>
              <w:ind w:firstLine="420" w:firstLineChars="200"/>
              <w:rPr>
                <w:rFonts w:cs="宋体" w:asciiTheme="minorEastAsia" w:hAnsiTheme="minorEastAsia"/>
                <w:szCs w:val="24"/>
              </w:rPr>
            </w:pPr>
            <w:r>
              <w:rPr>
                <w:rFonts w:hint="eastAsia" w:cs="宋体" w:asciiTheme="minorEastAsia" w:hAnsiTheme="minorEastAsia"/>
                <w:szCs w:val="24"/>
              </w:rPr>
              <w:t>对采购人的服务通知，中标供应商在接报后</w:t>
            </w:r>
            <w:r>
              <w:rPr>
                <w:rFonts w:hint="eastAsia" w:cs="宋体" w:asciiTheme="minorEastAsia" w:hAnsiTheme="minorEastAsia"/>
                <w:szCs w:val="24"/>
                <w:u w:val="single"/>
              </w:rPr>
              <w:t xml:space="preserve"> 2</w:t>
            </w:r>
            <w:r>
              <w:rPr>
                <w:rFonts w:hint="eastAsia" w:cs="宋体" w:asciiTheme="minorEastAsia" w:hAnsiTheme="minorEastAsia"/>
                <w:szCs w:val="24"/>
              </w:rPr>
              <w:t>小时内响应，</w:t>
            </w:r>
            <w:r>
              <w:rPr>
                <w:rFonts w:hint="eastAsia" w:cs="宋体" w:asciiTheme="minorEastAsia" w:hAnsiTheme="minorEastAsia"/>
                <w:szCs w:val="24"/>
                <w:u w:val="single"/>
              </w:rPr>
              <w:t>24</w:t>
            </w:r>
            <w:r>
              <w:rPr>
                <w:rFonts w:hint="eastAsia" w:cs="宋体" w:asciiTheme="minorEastAsia" w:hAnsiTheme="minorEastAsia"/>
                <w:szCs w:val="24"/>
              </w:rPr>
              <w:t>小时内到达现场，</w:t>
            </w:r>
            <w:r>
              <w:rPr>
                <w:rFonts w:hint="eastAsia" w:cs="宋体" w:asciiTheme="minorEastAsia" w:hAnsiTheme="minorEastAsia"/>
                <w:szCs w:val="24"/>
                <w:u w:val="single"/>
              </w:rPr>
              <w:t>48</w:t>
            </w:r>
            <w:r>
              <w:rPr>
                <w:rFonts w:hint="eastAsia" w:cs="宋体" w:asciiTheme="minorEastAsia" w:hAnsiTheme="minorEastAsia"/>
                <w:szCs w:val="24"/>
              </w:rPr>
              <w:t>小时内处理完毕。若在</w:t>
            </w:r>
            <w:r>
              <w:rPr>
                <w:rFonts w:hint="eastAsia" w:cs="宋体" w:asciiTheme="minorEastAsia" w:hAnsiTheme="minorEastAsia"/>
                <w:szCs w:val="24"/>
                <w:u w:val="single"/>
              </w:rPr>
              <w:t>48</w:t>
            </w:r>
            <w:r>
              <w:rPr>
                <w:rFonts w:hint="eastAsia" w:cs="宋体" w:asciiTheme="minorEastAsia" w:hAnsiTheme="minorEastAsia"/>
                <w:szCs w:val="24"/>
              </w:rPr>
              <w:t>小时内仍未能有效解决，</w:t>
            </w:r>
            <w:r>
              <w:rPr>
                <w:rFonts w:hint="eastAsia" w:cs="宋体" w:asciiTheme="minorEastAsia" w:hAnsiTheme="minorEastAsia"/>
                <w:szCs w:val="21"/>
              </w:rPr>
              <w:t>中标供应商</w:t>
            </w:r>
            <w:r>
              <w:rPr>
                <w:rFonts w:hint="eastAsia" w:cs="宋体" w:asciiTheme="minorEastAsia" w:hAnsiTheme="minorEastAsia"/>
                <w:szCs w:val="24"/>
              </w:rPr>
              <w:t>须提供同一档次的设备予采购人临时使用。</w:t>
            </w:r>
          </w:p>
        </w:tc>
      </w:tr>
    </w:tbl>
    <w:p w14:paraId="62D0FE07">
      <w:pPr>
        <w:outlineLvl w:val="0"/>
        <w:rPr>
          <w:rFonts w:hint="eastAsia" w:cstheme="minorBidi"/>
          <w:color w:val="auto"/>
          <w:kern w:val="2"/>
          <w:sz w:val="21"/>
          <w:szCs w:val="24"/>
          <w:lang w:val="en-US" w:eastAsia="zh-CN" w:bidi="ar-SA"/>
        </w:rPr>
      </w:pPr>
      <w:r>
        <w:rPr>
          <w:rFonts w:asciiTheme="minorHAnsi" w:hAnsiTheme="minorHAnsi" w:eastAsiaTheme="minorEastAsia" w:cstheme="minorBidi"/>
          <w:color w:val="auto"/>
          <w:kern w:val="2"/>
          <w:sz w:val="21"/>
          <w:szCs w:val="24"/>
          <w:lang w:val="en-US" w:eastAsia="zh-CN" w:bidi="ar-SA"/>
        </w:rPr>
        <w:br w:type="page"/>
      </w:r>
      <w:r>
        <w:rPr>
          <w:rFonts w:hint="eastAsia" w:cstheme="minorBidi"/>
          <w:color w:val="auto"/>
          <w:kern w:val="2"/>
          <w:sz w:val="32"/>
          <w:szCs w:val="40"/>
          <w:lang w:val="en-US" w:eastAsia="zh-CN" w:bidi="ar-SA"/>
        </w:rPr>
        <w:t>二、技术要求</w:t>
      </w:r>
    </w:p>
    <w:p w14:paraId="11DB1EE5">
      <w:pPr>
        <w:spacing w:line="360" w:lineRule="auto"/>
        <w:rPr>
          <w:rFonts w:asciiTheme="minorEastAsia" w:hAnsiTheme="minorEastAsia"/>
          <w:b/>
        </w:rPr>
      </w:pPr>
      <w:r>
        <w:rPr>
          <w:rFonts w:hint="eastAsia" w:asciiTheme="minorEastAsia" w:hAnsiTheme="minorEastAsia"/>
          <w:b/>
        </w:rPr>
        <w:t>说明：性质标“</w:t>
      </w:r>
      <w:r>
        <w:rPr>
          <w:rFonts w:hint="eastAsia" w:asciiTheme="minorEastAsia" w:hAnsiTheme="minorEastAsia"/>
          <w:szCs w:val="21"/>
          <w:shd w:val="clear" w:color="auto" w:fill="F5F7FA"/>
        </w:rPr>
        <w:t>★</w:t>
      </w:r>
      <w:r>
        <w:rPr>
          <w:rFonts w:hint="eastAsia" w:asciiTheme="minorEastAsia" w:hAnsiTheme="minorEastAsia"/>
          <w:b/>
        </w:rPr>
        <w:t>”表示该参数为必须完全满足的实质性要求，投标人如有一项带“★”的条款未响应或不满足，将按无效投标处理。</w:t>
      </w:r>
    </w:p>
    <w:p w14:paraId="785F9586">
      <w:pPr>
        <w:spacing w:line="360" w:lineRule="auto"/>
        <w:outlineLvl w:val="1"/>
        <w:rPr>
          <w:rFonts w:asciiTheme="minorEastAsia" w:hAnsiTheme="minorEastAsia"/>
          <w:u w:val="single"/>
        </w:rPr>
      </w:pPr>
      <w:r>
        <w:rPr>
          <w:rFonts w:hint="eastAsia" w:asciiTheme="minorEastAsia" w:hAnsiTheme="minorEastAsia"/>
          <w:b/>
          <w:bCs/>
        </w:rPr>
        <w:t>附表一：全自动凯氏定氮仪</w:t>
      </w:r>
      <w:r>
        <w:rPr>
          <w:rFonts w:hint="eastAsia" w:asciiTheme="minorEastAsia" w:hAnsiTheme="minorEastAsia"/>
        </w:rPr>
        <w:t xml:space="preserve"> </w:t>
      </w:r>
    </w:p>
    <w:tbl>
      <w:tblPr>
        <w:tblStyle w:val="12"/>
        <w:tblW w:w="8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704"/>
        <w:gridCol w:w="6816"/>
      </w:tblGrid>
      <w:tr w14:paraId="6021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Pr>
          <w:p w14:paraId="58659620">
            <w:pPr>
              <w:spacing w:line="360" w:lineRule="auto"/>
              <w:jc w:val="center"/>
              <w:rPr>
                <w:rFonts w:asciiTheme="minorEastAsia" w:hAnsiTheme="minorEastAsia"/>
                <w:b/>
              </w:rPr>
            </w:pPr>
            <w:r>
              <w:rPr>
                <w:rFonts w:hint="eastAsia" w:asciiTheme="minorEastAsia" w:hAnsiTheme="minorEastAsia"/>
                <w:b/>
              </w:rPr>
              <w:t>参数性质</w:t>
            </w:r>
          </w:p>
        </w:tc>
        <w:tc>
          <w:tcPr>
            <w:tcW w:w="704" w:type="dxa"/>
          </w:tcPr>
          <w:p w14:paraId="634EC794">
            <w:pPr>
              <w:spacing w:line="360" w:lineRule="auto"/>
              <w:jc w:val="center"/>
              <w:rPr>
                <w:rFonts w:asciiTheme="minorEastAsia" w:hAnsiTheme="minorEastAsia"/>
                <w:b/>
              </w:rPr>
            </w:pPr>
            <w:r>
              <w:rPr>
                <w:rFonts w:hint="eastAsia" w:asciiTheme="minorEastAsia" w:hAnsiTheme="minorEastAsia"/>
                <w:b/>
              </w:rPr>
              <w:t>编号</w:t>
            </w:r>
          </w:p>
        </w:tc>
        <w:tc>
          <w:tcPr>
            <w:tcW w:w="6816" w:type="dxa"/>
          </w:tcPr>
          <w:p w14:paraId="3A92BDD7">
            <w:pPr>
              <w:spacing w:line="360" w:lineRule="auto"/>
              <w:jc w:val="center"/>
              <w:rPr>
                <w:rFonts w:asciiTheme="minorEastAsia" w:hAnsiTheme="minorEastAsia"/>
                <w:b/>
              </w:rPr>
            </w:pPr>
            <w:r>
              <w:rPr>
                <w:rFonts w:hint="eastAsia" w:asciiTheme="minorEastAsia" w:hAnsiTheme="minorEastAsia"/>
                <w:b/>
              </w:rPr>
              <w:t>具体技术(参数)要求</w:t>
            </w:r>
          </w:p>
        </w:tc>
      </w:tr>
      <w:tr w14:paraId="6642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6" w:type="dxa"/>
          </w:tcPr>
          <w:p w14:paraId="2C223BFF">
            <w:pPr>
              <w:spacing w:line="360" w:lineRule="auto"/>
              <w:jc w:val="center"/>
              <w:rPr>
                <w:rFonts w:asciiTheme="minorEastAsia" w:hAnsiTheme="minorEastAsia"/>
              </w:rPr>
            </w:pPr>
          </w:p>
        </w:tc>
        <w:tc>
          <w:tcPr>
            <w:tcW w:w="704" w:type="dxa"/>
          </w:tcPr>
          <w:p w14:paraId="033C92FB">
            <w:pPr>
              <w:spacing w:line="360" w:lineRule="auto"/>
              <w:jc w:val="center"/>
              <w:rPr>
                <w:rFonts w:asciiTheme="minorEastAsia" w:hAnsiTheme="minorEastAsia"/>
              </w:rPr>
            </w:pPr>
          </w:p>
        </w:tc>
        <w:tc>
          <w:tcPr>
            <w:tcW w:w="6816" w:type="dxa"/>
          </w:tcPr>
          <w:p w14:paraId="67B198A1">
            <w:pPr>
              <w:spacing w:line="360" w:lineRule="auto"/>
              <w:rPr>
                <w:rFonts w:ascii="宋体" w:hAnsi="宋体" w:eastAsia="宋体" w:cs="宋体"/>
              </w:rPr>
            </w:pPr>
            <w:r>
              <w:rPr>
                <w:rFonts w:hint="eastAsia" w:ascii="宋体" w:hAnsi="宋体" w:eastAsia="宋体" w:cs="宋体"/>
              </w:rPr>
              <w:t>一、用途</w:t>
            </w:r>
          </w:p>
          <w:p w14:paraId="39DBA7D6">
            <w:pPr>
              <w:spacing w:line="360" w:lineRule="auto"/>
              <w:ind w:firstLine="420" w:firstLineChars="200"/>
              <w:rPr>
                <w:rFonts w:ascii="宋体" w:hAnsi="宋体" w:eastAsia="宋体" w:cs="宋体"/>
              </w:rPr>
            </w:pPr>
            <w:r>
              <w:rPr>
                <w:iCs/>
              </w:rPr>
              <w:t>适用于饲料、宠物食品</w:t>
            </w:r>
            <w:r>
              <w:rPr>
                <w:rFonts w:hint="eastAsia"/>
                <w:iCs/>
              </w:rPr>
              <w:t>、肉及肉制品、动植物</w:t>
            </w:r>
            <w:r>
              <w:rPr>
                <w:iCs/>
              </w:rPr>
              <w:t>等样品</w:t>
            </w:r>
            <w:r>
              <w:rPr>
                <w:rFonts w:hint="eastAsia"/>
                <w:iCs/>
              </w:rPr>
              <w:t>中蛋白质/总氮含量的测定</w:t>
            </w:r>
            <w:r>
              <w:rPr>
                <w:iCs/>
              </w:rPr>
              <w:t>。</w:t>
            </w:r>
          </w:p>
          <w:p w14:paraId="5C64DB5B">
            <w:pPr>
              <w:pStyle w:val="17"/>
              <w:jc w:val="both"/>
              <w:rPr>
                <w:rFonts w:hint="default"/>
              </w:rPr>
            </w:pPr>
            <w:r>
              <w:rPr>
                <w:sz w:val="21"/>
              </w:rPr>
              <w:t>二、技术参数</w:t>
            </w:r>
          </w:p>
          <w:p w14:paraId="669A1507">
            <w:pPr>
              <w:spacing w:line="360" w:lineRule="auto"/>
              <w:ind w:firstLine="210" w:firstLineChars="100"/>
              <w:rPr>
                <w:rFonts w:hint="eastAsia" w:ascii="宋体" w:hAnsi="宋体" w:eastAsiaTheme="minorEastAsia"/>
                <w:szCs w:val="21"/>
                <w:lang w:eastAsia="zh-CN"/>
              </w:rPr>
            </w:pPr>
            <w:r>
              <w:rPr>
                <w:rFonts w:hint="eastAsia" w:asciiTheme="minorEastAsia" w:hAnsiTheme="minorEastAsia"/>
                <w:szCs w:val="21"/>
                <w:shd w:val="clear" w:color="auto" w:fill="F5F7FA"/>
              </w:rPr>
              <w:t>★</w:t>
            </w:r>
            <w:r>
              <w:rPr>
                <w:rFonts w:hint="eastAsia" w:ascii="宋体" w:hAnsi="宋体"/>
                <w:szCs w:val="21"/>
              </w:rPr>
              <w:t>1、</w:t>
            </w:r>
            <w:r>
              <w:rPr>
                <w:rFonts w:hint="eastAsia" w:ascii="宋体" w:hAnsi="宋体" w:cs="仿宋_GB2312"/>
                <w:color w:val="000000"/>
                <w:kern w:val="0"/>
                <w:szCs w:val="21"/>
                <w:lang w:bidi="ar"/>
              </w:rPr>
              <w:t>满足GB 5009.5-2025《食品安全国家标准</w:t>
            </w:r>
            <w:r>
              <w:rPr>
                <w:rFonts w:hint="eastAsia" w:ascii="宋体" w:hAnsi="宋体" w:cs="仿宋_GB2312"/>
                <w:color w:val="000000"/>
                <w:kern w:val="0"/>
                <w:szCs w:val="21"/>
                <w:lang w:val="en-US" w:eastAsia="zh-CN" w:bidi="ar"/>
              </w:rPr>
              <w:t xml:space="preserve"> </w:t>
            </w:r>
            <w:r>
              <w:rPr>
                <w:rFonts w:hint="eastAsia" w:ascii="宋体" w:hAnsi="宋体" w:cs="仿宋_GB2312"/>
                <w:color w:val="000000"/>
                <w:kern w:val="0"/>
                <w:szCs w:val="21"/>
                <w:lang w:bidi="ar"/>
              </w:rPr>
              <w:t>食品中蛋白质的测定》第一法凯氏定氮法及</w:t>
            </w:r>
            <w:r>
              <w:rPr>
                <w:rFonts w:ascii="宋体" w:hAnsi="宋体" w:cs="仿宋_GB2312"/>
                <w:color w:val="000000"/>
                <w:kern w:val="0"/>
                <w:szCs w:val="21"/>
                <w:lang w:bidi="ar"/>
              </w:rPr>
              <w:t>GB/T 6432-2018</w:t>
            </w:r>
            <w:r>
              <w:rPr>
                <w:rFonts w:hint="eastAsia" w:ascii="宋体" w:hAnsi="宋体" w:cs="仿宋_GB2312"/>
                <w:color w:val="000000"/>
                <w:kern w:val="0"/>
                <w:szCs w:val="21"/>
                <w:lang w:val="en-US" w:eastAsia="zh-CN" w:bidi="ar"/>
              </w:rPr>
              <w:t xml:space="preserve"> </w:t>
            </w:r>
            <w:r>
              <w:rPr>
                <w:rFonts w:hint="eastAsia" w:ascii="宋体" w:hAnsi="宋体" w:cs="仿宋_GB2312"/>
                <w:color w:val="000000"/>
                <w:kern w:val="0"/>
                <w:szCs w:val="21"/>
                <w:lang w:bidi="ar"/>
              </w:rPr>
              <w:t>《饲料中粗蛋白的测定 凯氏定氮法》的要求，用于总氮及粗蛋白质含量分析。包括浓酸消化、碱性环境蒸汽蒸馏、硼酸吸收以及指示剂滴定至终点颜色判定法。</w:t>
            </w:r>
            <w:r>
              <w:rPr>
                <w:rFonts w:hint="eastAsia" w:ascii="宋体" w:hAnsi="宋体" w:cs="仿宋_GB2312"/>
                <w:color w:val="000000"/>
                <w:kern w:val="0"/>
                <w:szCs w:val="21"/>
                <w:lang w:eastAsia="zh-CN" w:bidi="ar"/>
              </w:rPr>
              <w:t>（</w:t>
            </w:r>
            <w:r>
              <w:rPr>
                <w:rFonts w:hint="eastAsia" w:ascii="宋体" w:hAnsi="宋体" w:cs="仿宋_GB2312"/>
                <w:color w:val="000000"/>
                <w:kern w:val="0"/>
                <w:szCs w:val="21"/>
                <w:lang w:val="en-US" w:eastAsia="zh-CN" w:bidi="ar"/>
              </w:rPr>
              <w:t>提供承诺函，格式自拟</w:t>
            </w:r>
            <w:r>
              <w:rPr>
                <w:rFonts w:hint="eastAsia" w:ascii="宋体" w:hAnsi="宋体" w:cs="仿宋_GB2312"/>
                <w:color w:val="000000"/>
                <w:kern w:val="0"/>
                <w:szCs w:val="21"/>
                <w:lang w:eastAsia="zh-CN" w:bidi="ar"/>
              </w:rPr>
              <w:t>）</w:t>
            </w:r>
          </w:p>
          <w:p w14:paraId="4025AA26">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2、内置光电滴定系统:不需使用任何电极（酸碱中和电极以及液位检测电极），正压式，滴定酸桶以及所有管路内置在主机箱体内，内置颜色终点校正程序。（需提供实物图片以及用户手册截图证明）</w:t>
            </w:r>
          </w:p>
          <w:p w14:paraId="2D449151">
            <w:pPr>
              <w:spacing w:line="360" w:lineRule="auto"/>
              <w:ind w:firstLine="210" w:firstLineChars="100"/>
              <w:rPr>
                <w:rFonts w:ascii="宋体" w:hAnsi="宋体"/>
                <w:szCs w:val="21"/>
              </w:rPr>
            </w:pPr>
            <w:r>
              <w:rPr>
                <w:rFonts w:hint="eastAsia" w:ascii="宋体" w:hAnsi="宋体" w:cs="仿宋_GB2312"/>
                <w:color w:val="000000"/>
                <w:kern w:val="0"/>
                <w:szCs w:val="21"/>
                <w:lang w:bidi="ar"/>
              </w:rPr>
              <w:t>▲3、软件中可对滴定终点进行校准，比如“更红”或者“更绿”，并在滴定缸中设定多个不同液位进行颜色校准。</w:t>
            </w:r>
            <w:r>
              <w:rPr>
                <w:rFonts w:hint="eastAsia" w:ascii="宋体" w:hAnsi="宋体"/>
                <w:szCs w:val="21"/>
              </w:rPr>
              <w:t>（需提供软件界面截屏和手册截图证明）</w:t>
            </w:r>
          </w:p>
          <w:p w14:paraId="10C4CEAD">
            <w:pPr>
              <w:spacing w:line="360" w:lineRule="auto"/>
              <w:ind w:firstLine="420" w:firstLineChars="200"/>
              <w:rPr>
                <w:rFonts w:ascii="宋体" w:hAnsi="宋体"/>
                <w:szCs w:val="21"/>
              </w:rPr>
            </w:pPr>
            <w:r>
              <w:rPr>
                <w:rFonts w:hint="eastAsia" w:ascii="宋体" w:hAnsi="宋体"/>
                <w:szCs w:val="21"/>
              </w:rPr>
              <w:t>4、试剂泵（硼酸泵与碱泵）采用风箱泵设计，不需软件校正。</w:t>
            </w:r>
          </w:p>
          <w:p w14:paraId="5DC1F135">
            <w:pPr>
              <w:spacing w:line="360" w:lineRule="auto"/>
              <w:ind w:firstLine="420" w:firstLineChars="200"/>
              <w:rPr>
                <w:rFonts w:ascii="宋体" w:hAnsi="宋体"/>
                <w:szCs w:val="21"/>
              </w:rPr>
            </w:pPr>
            <w:r>
              <w:rPr>
                <w:rFonts w:hint="eastAsia" w:ascii="宋体" w:hAnsi="宋体"/>
                <w:szCs w:val="21"/>
              </w:rPr>
              <w:t xml:space="preserve">5、蒸汽可调至少涵盖: </w:t>
            </w:r>
            <w:r>
              <w:rPr>
                <w:rFonts w:ascii="宋体" w:hAnsi="宋体"/>
                <w:szCs w:val="21"/>
              </w:rPr>
              <w:t>3</w:t>
            </w:r>
            <w:r>
              <w:rPr>
                <w:rFonts w:hint="eastAsia" w:ascii="宋体" w:hAnsi="宋体"/>
                <w:szCs w:val="21"/>
              </w:rPr>
              <w:t>0%～100%。</w:t>
            </w:r>
          </w:p>
          <w:p w14:paraId="744F78AF">
            <w:pPr>
              <w:spacing w:line="360" w:lineRule="auto"/>
              <w:ind w:firstLine="420" w:firstLineChars="200"/>
              <w:rPr>
                <w:rFonts w:ascii="宋体" w:hAnsi="宋体"/>
                <w:szCs w:val="21"/>
              </w:rPr>
            </w:pPr>
            <w:r>
              <w:rPr>
                <w:rFonts w:hint="eastAsia" w:ascii="宋体" w:hAnsi="宋体"/>
                <w:szCs w:val="21"/>
              </w:rPr>
              <w:t>6、蒸馏旁路：有，可用于直接蒸馏应用，放置各种规格的吸收瓶容量瓶。</w:t>
            </w:r>
          </w:p>
          <w:p w14:paraId="27D5CA23">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7、</w:t>
            </w:r>
            <w:r>
              <w:rPr>
                <w:rFonts w:hint="eastAsia" w:ascii="宋体" w:cs="宋体"/>
                <w:color w:val="000000"/>
                <w:kern w:val="0"/>
                <w:szCs w:val="21"/>
              </w:rPr>
              <w:t>蒸汽延迟时间范围：</w:t>
            </w:r>
            <w:r>
              <w:rPr>
                <w:rFonts w:hint="eastAsia" w:ascii="宋体" w:hAnsi="宋体"/>
                <w:szCs w:val="21"/>
              </w:rPr>
              <w:t>至少涵盖</w:t>
            </w:r>
            <w:r>
              <w:rPr>
                <w:rFonts w:ascii="宋体" w:cs="宋体"/>
                <w:color w:val="000000"/>
                <w:kern w:val="0"/>
                <w:szCs w:val="21"/>
              </w:rPr>
              <w:t>0</w:t>
            </w:r>
            <w:r>
              <w:rPr>
                <w:rFonts w:hint="eastAsia" w:ascii="宋体" w:hAnsi="宋体"/>
                <w:szCs w:val="21"/>
              </w:rPr>
              <w:t>～</w:t>
            </w:r>
            <w:r>
              <w:rPr>
                <w:rFonts w:ascii="宋体" w:cs="宋体"/>
                <w:color w:val="000000"/>
                <w:kern w:val="0"/>
                <w:szCs w:val="21"/>
              </w:rPr>
              <w:t>1</w:t>
            </w:r>
            <w:r>
              <w:rPr>
                <w:rFonts w:hint="eastAsia" w:ascii="宋体" w:cs="宋体"/>
                <w:color w:val="000000"/>
                <w:kern w:val="0"/>
                <w:szCs w:val="21"/>
              </w:rPr>
              <w:t>5</w:t>
            </w:r>
            <w:r>
              <w:rPr>
                <w:rFonts w:ascii="宋体" w:cs="宋体"/>
                <w:color w:val="000000"/>
                <w:kern w:val="0"/>
                <w:szCs w:val="21"/>
              </w:rPr>
              <w:t>00</w:t>
            </w:r>
            <w:r>
              <w:rPr>
                <w:rFonts w:hint="eastAsia" w:ascii="宋体" w:cs="宋体"/>
                <w:color w:val="000000"/>
                <w:kern w:val="0"/>
                <w:szCs w:val="21"/>
              </w:rPr>
              <w:t>秒或更宽范围，需在定氮仪主机屏幕上可设置并显示延迟时间。（提供设置界面截图证明材料，并用醒目的方式进行标记）</w:t>
            </w:r>
          </w:p>
          <w:p w14:paraId="4FB85E3B">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cs="宋体"/>
                <w:szCs w:val="21"/>
              </w:rPr>
              <w:t>8、</w:t>
            </w:r>
            <w:r>
              <w:rPr>
                <w:rFonts w:hint="eastAsia" w:ascii="宋体" w:hAnsi="宋体"/>
                <w:szCs w:val="21"/>
              </w:rPr>
              <w:t>蒸汽平衡蒸馏时间：至少涵盖0～15秒，在定氮仪主机屏幕上可设置并显示时间。</w:t>
            </w:r>
            <w:r>
              <w:rPr>
                <w:rFonts w:hint="eastAsia" w:ascii="宋体" w:cs="宋体"/>
                <w:color w:val="000000"/>
                <w:kern w:val="0"/>
                <w:szCs w:val="21"/>
              </w:rPr>
              <w:t>（提供设置界面截图证明材料，并用醒目的方式进行标记）</w:t>
            </w:r>
          </w:p>
          <w:p w14:paraId="6F03DC24">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9、</w:t>
            </w:r>
            <w:r>
              <w:rPr>
                <w:rFonts w:hint="eastAsia" w:ascii="宋体" w:hAnsi="宋体" w:cs="仿宋_GB2312"/>
                <w:color w:val="000000"/>
                <w:kern w:val="0"/>
                <w:szCs w:val="21"/>
                <w:lang w:bidi="ar"/>
              </w:rPr>
              <w:t>蒸馏区内置安全保护罩，样品管蒸馏过程中，外有安全罩保护，除非紧急停机，保护罩全程由软件控制开启/关闭，不能手动打开保护罩。</w:t>
            </w:r>
            <w:r>
              <w:rPr>
                <w:rFonts w:hint="eastAsia" w:ascii="宋体" w:hAnsi="宋体"/>
                <w:szCs w:val="21"/>
              </w:rPr>
              <w:t>（需提供实物图片和用户手册截图证明）</w:t>
            </w:r>
          </w:p>
          <w:p w14:paraId="022141B3">
            <w:pPr>
              <w:spacing w:line="360" w:lineRule="auto"/>
              <w:ind w:firstLine="420" w:firstLineChars="200"/>
              <w:rPr>
                <w:rFonts w:ascii="宋体" w:hAnsi="宋体"/>
                <w:szCs w:val="21"/>
              </w:rPr>
            </w:pPr>
            <w:r>
              <w:rPr>
                <w:rFonts w:hint="eastAsia" w:ascii="宋体" w:hAnsi="宋体"/>
                <w:szCs w:val="21"/>
              </w:rPr>
              <w:t>10、消化管更换报警：有</w:t>
            </w:r>
          </w:p>
          <w:p w14:paraId="50E223CD">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11、</w:t>
            </w:r>
            <w:r>
              <w:rPr>
                <w:rFonts w:hint="eastAsia" w:ascii="宋体" w:hAnsi="宋体" w:cs="仿宋_GB2312"/>
                <w:color w:val="000000"/>
                <w:kern w:val="0"/>
                <w:szCs w:val="21"/>
                <w:lang w:bidi="ar"/>
              </w:rPr>
              <w:t>内置温度探头，实时监控蒸馏馏出液温度</w:t>
            </w:r>
            <w:r>
              <w:rPr>
                <w:rFonts w:hint="eastAsia" w:ascii="宋体" w:hAnsi="宋体" w:cs="仿宋_GB2312"/>
                <w:kern w:val="0"/>
                <w:szCs w:val="21"/>
                <w:lang w:bidi="ar"/>
              </w:rPr>
              <w:t>(非冷却水温度)</w:t>
            </w:r>
            <w:r>
              <w:rPr>
                <w:rFonts w:hint="eastAsia" w:ascii="宋体" w:hAnsi="宋体" w:cs="仿宋_GB2312"/>
                <w:color w:val="000000"/>
                <w:kern w:val="0"/>
                <w:szCs w:val="21"/>
                <w:lang w:bidi="ar"/>
              </w:rPr>
              <w:t>，自动监控冷凝效果，自动进行冷凝水流量调节；蒸汽发生器具备液位与过热保护。</w:t>
            </w:r>
            <w:r>
              <w:rPr>
                <w:rFonts w:hint="eastAsia" w:ascii="宋体" w:hAnsi="宋体"/>
                <w:szCs w:val="21"/>
              </w:rPr>
              <w:t>（需提供实物图片以及手册截图证明）</w:t>
            </w:r>
          </w:p>
          <w:p w14:paraId="06F168BA">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12、滴定缸采用电容式液位检测技术（没有液位电极，避免污染），可以通过程序设定，自动检测任意高度液位，从而实现编程指定任意体积蒸馏，以适应不同高低含量样品类型。</w:t>
            </w:r>
          </w:p>
          <w:p w14:paraId="37027A58">
            <w:pPr>
              <w:spacing w:line="360" w:lineRule="auto"/>
              <w:ind w:firstLine="210" w:firstLineChars="100"/>
              <w:rPr>
                <w:rFonts w:ascii="宋体" w:hAnsi="宋体"/>
                <w:szCs w:val="21"/>
              </w:rPr>
            </w:pPr>
            <w:r>
              <w:rPr>
                <w:rFonts w:hint="eastAsia" w:ascii="宋体" w:hAnsi="宋体" w:cs="仿宋_GB2312"/>
                <w:color w:val="000000"/>
                <w:kern w:val="0"/>
                <w:szCs w:val="21"/>
                <w:lang w:bidi="ar"/>
              </w:rPr>
              <w:t>▲13、滴定管体积≥35mL，滴定过程中不停机情况下滴定器自动充满，并在分析完成后自动回填。连续滴定过程中滴定管内不出现肉眼可见气泡。</w:t>
            </w:r>
            <w:bookmarkStart w:id="0" w:name="OLE_LINK3"/>
            <w:r>
              <w:rPr>
                <w:rFonts w:hint="eastAsia" w:ascii="宋体" w:hAnsi="宋体"/>
                <w:szCs w:val="21"/>
              </w:rPr>
              <w:t>（需提供用户手册截图和产品彩页截图证明）</w:t>
            </w:r>
            <w:bookmarkEnd w:id="0"/>
          </w:p>
          <w:p w14:paraId="764B6E3A">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14、</w:t>
            </w:r>
            <w:r>
              <w:rPr>
                <w:rFonts w:hint="eastAsia" w:ascii="宋体" w:hAnsi="宋体" w:cs="仿宋_GB2312"/>
                <w:color w:val="000000"/>
                <w:kern w:val="0"/>
                <w:szCs w:val="21"/>
                <w:lang w:bidi="ar"/>
              </w:rPr>
              <w:t>具有试剂（水、碱液、硼酸吸收液、废液、滴定剂（盐酸或硫酸标准滴定液））液位报警功能。其中装有标准滴定液的容器需采用外置电容板液位检测，容器中无电极或液位探针。当有错误警报的时候，仪器就会停止。</w:t>
            </w:r>
            <w:r>
              <w:rPr>
                <w:rFonts w:hint="eastAsia" w:ascii="宋体" w:hAnsi="宋体"/>
                <w:szCs w:val="21"/>
              </w:rPr>
              <w:t>（需提供实物图片证明）</w:t>
            </w:r>
          </w:p>
          <w:p w14:paraId="020D5367">
            <w:pPr>
              <w:spacing w:line="360" w:lineRule="auto"/>
              <w:ind w:firstLine="210" w:firstLineChars="100"/>
              <w:rPr>
                <w:rFonts w:ascii="宋体" w:hAnsi="宋体"/>
                <w:szCs w:val="21"/>
              </w:rPr>
            </w:pPr>
            <w:r>
              <w:rPr>
                <w:rFonts w:hint="eastAsia" w:ascii="宋体" w:hAnsi="宋体" w:cs="仿宋_GB2312"/>
                <w:color w:val="000000"/>
                <w:kern w:val="0"/>
                <w:szCs w:val="21"/>
                <w:lang w:bidi="ar"/>
              </w:rPr>
              <w:t>▲</w:t>
            </w:r>
            <w:r>
              <w:rPr>
                <w:rFonts w:hint="eastAsia" w:ascii="宋体" w:hAnsi="宋体"/>
                <w:szCs w:val="21"/>
              </w:rPr>
              <w:t>15、具有自动</w:t>
            </w:r>
            <w:r>
              <w:rPr>
                <w:rFonts w:hint="eastAsia" w:ascii="宋体" w:hAnsi="宋体" w:cs="仿宋_GB2312"/>
                <w:color w:val="000000"/>
                <w:kern w:val="0"/>
                <w:szCs w:val="21"/>
                <w:lang w:bidi="ar"/>
              </w:rPr>
              <w:t>进样器接口，与消化炉采用通用管架，消化管连同消化管架一起整体置入进样器，不需更转移消化管或转移消化液；进样后设备自动完成依次进样分析。</w:t>
            </w:r>
            <w:r>
              <w:rPr>
                <w:rFonts w:hint="eastAsia" w:ascii="宋体" w:hAnsi="宋体"/>
                <w:szCs w:val="21"/>
              </w:rPr>
              <w:t>（需提供实物图片证明）</w:t>
            </w:r>
          </w:p>
          <w:p w14:paraId="6C01567B">
            <w:pPr>
              <w:spacing w:line="360" w:lineRule="auto"/>
              <w:ind w:firstLine="420" w:firstLineChars="200"/>
              <w:rPr>
                <w:rFonts w:ascii="宋体" w:hAnsi="宋体"/>
                <w:szCs w:val="21"/>
              </w:rPr>
            </w:pPr>
            <w:r>
              <w:rPr>
                <w:rFonts w:hint="eastAsia" w:ascii="宋体" w:hAnsi="宋体"/>
                <w:szCs w:val="21"/>
              </w:rPr>
              <w:t>16、操作界面：彩色触摸屏，中文操作界面。</w:t>
            </w:r>
          </w:p>
          <w:p w14:paraId="0A5FA9BE">
            <w:pPr>
              <w:spacing w:line="360" w:lineRule="auto"/>
              <w:ind w:firstLine="420" w:firstLineChars="200"/>
              <w:rPr>
                <w:rFonts w:ascii="宋体" w:hAnsi="宋体"/>
                <w:szCs w:val="21"/>
              </w:rPr>
            </w:pPr>
            <w:r>
              <w:rPr>
                <w:rFonts w:hint="eastAsia" w:ascii="宋体" w:hAnsi="宋体"/>
                <w:szCs w:val="21"/>
              </w:rPr>
              <w:t>17、测量范围至少涵盖：0.1～2</w:t>
            </w:r>
            <w:r>
              <w:rPr>
                <w:rFonts w:ascii="宋体" w:hAnsi="宋体"/>
                <w:szCs w:val="21"/>
              </w:rPr>
              <w:t>1</w:t>
            </w:r>
            <w:r>
              <w:rPr>
                <w:rFonts w:hint="eastAsia" w:ascii="宋体" w:hAnsi="宋体"/>
                <w:szCs w:val="21"/>
              </w:rPr>
              <w:t>0mgN。</w:t>
            </w:r>
          </w:p>
          <w:p w14:paraId="12FF97A5">
            <w:pPr>
              <w:spacing w:line="360" w:lineRule="auto"/>
              <w:ind w:firstLine="420" w:firstLineChars="200"/>
              <w:rPr>
                <w:rFonts w:ascii="宋体" w:hAnsi="宋体"/>
                <w:szCs w:val="21"/>
              </w:rPr>
            </w:pPr>
            <w:r>
              <w:rPr>
                <w:rFonts w:hint="eastAsia" w:ascii="宋体" w:hAnsi="宋体"/>
                <w:szCs w:val="21"/>
              </w:rPr>
              <w:t>18、重现性(RSD)：</w:t>
            </w:r>
            <w:r>
              <w:rPr>
                <w:rFonts w:hint="eastAsia" w:ascii="宋体" w:hAnsi="宋体" w:cs="宋体"/>
                <w:szCs w:val="21"/>
              </w:rPr>
              <w:t>≤0</w:t>
            </w:r>
            <w:r>
              <w:rPr>
                <w:rFonts w:ascii="宋体" w:hAnsi="宋体" w:cs="宋体"/>
                <w:szCs w:val="21"/>
              </w:rPr>
              <w:t>.5</w:t>
            </w:r>
            <w:r>
              <w:rPr>
                <w:rFonts w:hint="eastAsia" w:ascii="宋体" w:hAnsi="宋体"/>
                <w:szCs w:val="21"/>
              </w:rPr>
              <w:t>%（包括消化步骤）。</w:t>
            </w:r>
          </w:p>
          <w:p w14:paraId="72696290">
            <w:pPr>
              <w:spacing w:line="360" w:lineRule="auto"/>
              <w:ind w:firstLine="420" w:firstLineChars="200"/>
              <w:rPr>
                <w:rFonts w:ascii="宋体" w:hAnsi="宋体"/>
                <w:szCs w:val="21"/>
              </w:rPr>
            </w:pPr>
            <w:r>
              <w:rPr>
                <w:rFonts w:hint="eastAsia" w:ascii="宋体" w:hAnsi="宋体"/>
                <w:szCs w:val="21"/>
              </w:rPr>
              <w:t>19、回收率：＞99%。</w:t>
            </w:r>
          </w:p>
          <w:p w14:paraId="4FF73568">
            <w:pPr>
              <w:spacing w:line="360" w:lineRule="auto"/>
              <w:ind w:firstLine="420" w:firstLineChars="200"/>
              <w:rPr>
                <w:rFonts w:ascii="宋体" w:hAnsi="宋体"/>
                <w:szCs w:val="21"/>
              </w:rPr>
            </w:pPr>
            <w:r>
              <w:rPr>
                <w:rFonts w:hint="eastAsia" w:ascii="宋体" w:hAnsi="宋体"/>
                <w:szCs w:val="21"/>
              </w:rPr>
              <w:t>20、检测限：≥0.1mgN。</w:t>
            </w:r>
          </w:p>
          <w:p w14:paraId="59C8C3CD">
            <w:pPr>
              <w:spacing w:line="360" w:lineRule="auto"/>
              <w:ind w:firstLine="420" w:firstLineChars="200"/>
              <w:rPr>
                <w:rFonts w:ascii="宋体" w:hAnsi="宋体"/>
                <w:szCs w:val="21"/>
              </w:rPr>
            </w:pPr>
            <w:r>
              <w:rPr>
                <w:rFonts w:hint="eastAsia" w:ascii="宋体" w:hAnsi="宋体"/>
                <w:szCs w:val="21"/>
              </w:rPr>
              <w:t>21、消化批处理能力：20个/批。</w:t>
            </w:r>
          </w:p>
          <w:p w14:paraId="060C7454">
            <w:pPr>
              <w:spacing w:line="360" w:lineRule="auto"/>
              <w:ind w:firstLine="420" w:firstLineChars="200"/>
              <w:rPr>
                <w:rFonts w:ascii="宋体" w:hAnsi="宋体"/>
                <w:szCs w:val="21"/>
              </w:rPr>
            </w:pPr>
            <w:r>
              <w:rPr>
                <w:rFonts w:hint="eastAsia" w:ascii="宋体" w:hAnsi="宋体"/>
                <w:szCs w:val="21"/>
              </w:rPr>
              <w:t>22、铝模块消化系统，最高消化温度：440</w:t>
            </w:r>
            <w:r>
              <w:rPr>
                <w:rFonts w:hint="eastAsia" w:ascii="宋体" w:hAnsi="宋体" w:cs="宋体"/>
                <w:sz w:val="24"/>
              </w:rPr>
              <w:t>℃</w:t>
            </w:r>
            <w:r>
              <w:rPr>
                <w:rFonts w:hint="eastAsia" w:ascii="宋体" w:hAnsi="宋体"/>
                <w:szCs w:val="21"/>
              </w:rPr>
              <w:t>；时间范围至少涵盖：1～999分钟。</w:t>
            </w:r>
          </w:p>
          <w:p w14:paraId="1370F1FE">
            <w:pPr>
              <w:spacing w:line="360" w:lineRule="auto"/>
              <w:ind w:firstLine="210" w:firstLineChars="100"/>
              <w:rPr>
                <w:rFonts w:ascii="宋体" w:hAnsi="宋体" w:eastAsia="宋体" w:cs="宋体"/>
              </w:rPr>
            </w:pPr>
            <w:r>
              <w:rPr>
                <w:rFonts w:hint="eastAsia" w:ascii="宋体" w:hAnsi="宋体" w:cs="仿宋_GB2312"/>
                <w:color w:val="000000"/>
                <w:kern w:val="0"/>
                <w:szCs w:val="21"/>
                <w:lang w:bidi="ar"/>
              </w:rPr>
              <w:t>▲</w:t>
            </w:r>
            <w:r>
              <w:rPr>
                <w:rFonts w:hint="eastAsia" w:ascii="宋体" w:hAnsi="宋体"/>
                <w:szCs w:val="21"/>
              </w:rPr>
              <w:t>23、</w:t>
            </w:r>
            <w:r>
              <w:rPr>
                <w:rFonts w:hint="eastAsia" w:ascii="宋体" w:hAnsi="宋体" w:cs="仿宋_GB2312"/>
                <w:color w:val="000000"/>
                <w:kern w:val="0"/>
                <w:szCs w:val="21"/>
                <w:lang w:bidi="ar"/>
              </w:rPr>
              <w:t>消化炉模块、主机、进样器同时适用不同的消化管规格：包括250ml与400ml（或400mL以上容量）</w:t>
            </w:r>
            <w:r>
              <w:rPr>
                <w:rFonts w:hint="eastAsia" w:ascii="宋体" w:hAnsi="宋体"/>
                <w:szCs w:val="21"/>
              </w:rPr>
              <w:t>（需提供实物图片证明）</w:t>
            </w:r>
          </w:p>
          <w:p w14:paraId="1C066FA3">
            <w:pPr>
              <w:spacing w:line="360" w:lineRule="auto"/>
              <w:rPr>
                <w:rFonts w:ascii="宋体" w:hAnsi="宋体" w:eastAsia="宋体" w:cs="宋体"/>
              </w:rPr>
            </w:pPr>
            <w:r>
              <w:rPr>
                <w:rFonts w:hint="eastAsia" w:ascii="宋体" w:hAnsi="宋体" w:eastAsia="宋体" w:cs="宋体"/>
              </w:rPr>
              <w:t>三、配置清单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528"/>
              <w:gridCol w:w="1221"/>
              <w:gridCol w:w="1266"/>
            </w:tblGrid>
            <w:tr w14:paraId="3B6E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653085A2">
                  <w:pPr>
                    <w:jc w:val="center"/>
                    <w:rPr>
                      <w:rFonts w:ascii="宋体" w:hAnsi="宋体" w:eastAsia="宋体" w:cs="宋体"/>
                      <w:szCs w:val="21"/>
                    </w:rPr>
                  </w:pPr>
                  <w:r>
                    <w:rPr>
                      <w:rFonts w:hint="eastAsia" w:ascii="宋体" w:hAnsi="宋体" w:eastAsia="宋体" w:cs="宋体"/>
                      <w:szCs w:val="21"/>
                    </w:rPr>
                    <w:t>序号</w:t>
                  </w:r>
                </w:p>
              </w:tc>
              <w:tc>
                <w:tcPr>
                  <w:tcW w:w="2528" w:type="dxa"/>
                  <w:vAlign w:val="center"/>
                </w:tcPr>
                <w:p w14:paraId="1EC218A3">
                  <w:pPr>
                    <w:jc w:val="center"/>
                    <w:rPr>
                      <w:rFonts w:ascii="宋体" w:hAnsi="宋体" w:eastAsia="宋体" w:cs="宋体"/>
                      <w:szCs w:val="21"/>
                    </w:rPr>
                  </w:pPr>
                  <w:r>
                    <w:rPr>
                      <w:rFonts w:hint="eastAsia" w:ascii="宋体" w:hAnsi="宋体" w:eastAsia="宋体" w:cs="宋体"/>
                      <w:szCs w:val="21"/>
                    </w:rPr>
                    <w:t>配置名称</w:t>
                  </w:r>
                </w:p>
              </w:tc>
              <w:tc>
                <w:tcPr>
                  <w:tcW w:w="1221" w:type="dxa"/>
                  <w:vAlign w:val="center"/>
                </w:tcPr>
                <w:p w14:paraId="2C26E3FB">
                  <w:pPr>
                    <w:jc w:val="center"/>
                    <w:rPr>
                      <w:rFonts w:ascii="宋体" w:hAnsi="宋体" w:eastAsia="宋体" w:cs="宋体"/>
                      <w:szCs w:val="21"/>
                    </w:rPr>
                  </w:pPr>
                  <w:r>
                    <w:rPr>
                      <w:rFonts w:hint="eastAsia" w:ascii="宋体" w:hAnsi="宋体" w:eastAsia="宋体" w:cs="宋体"/>
                      <w:szCs w:val="21"/>
                    </w:rPr>
                    <w:t>单位</w:t>
                  </w:r>
                </w:p>
              </w:tc>
              <w:tc>
                <w:tcPr>
                  <w:tcW w:w="1266" w:type="dxa"/>
                  <w:vAlign w:val="center"/>
                </w:tcPr>
                <w:p w14:paraId="6D327D3C">
                  <w:pPr>
                    <w:jc w:val="center"/>
                    <w:rPr>
                      <w:rFonts w:ascii="宋体" w:hAnsi="宋体" w:eastAsia="宋体" w:cs="宋体"/>
                      <w:szCs w:val="21"/>
                    </w:rPr>
                  </w:pPr>
                  <w:r>
                    <w:rPr>
                      <w:rFonts w:hint="eastAsia" w:ascii="宋体" w:hAnsi="宋体" w:eastAsia="宋体" w:cs="宋体"/>
                      <w:szCs w:val="21"/>
                    </w:rPr>
                    <w:t>数量</w:t>
                  </w:r>
                </w:p>
              </w:tc>
            </w:tr>
            <w:tr w14:paraId="4905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091C7C18">
                  <w:pPr>
                    <w:jc w:val="center"/>
                    <w:rPr>
                      <w:rFonts w:ascii="宋体" w:hAnsi="宋体" w:eastAsia="宋体" w:cs="宋体"/>
                      <w:szCs w:val="21"/>
                    </w:rPr>
                  </w:pPr>
                  <w:r>
                    <w:rPr>
                      <w:rFonts w:hint="eastAsia" w:ascii="宋体" w:hAnsi="宋体" w:eastAsia="宋体" w:cs="宋体"/>
                      <w:szCs w:val="21"/>
                    </w:rPr>
                    <w:t>1</w:t>
                  </w:r>
                </w:p>
              </w:tc>
              <w:tc>
                <w:tcPr>
                  <w:tcW w:w="2528" w:type="dxa"/>
                  <w:vAlign w:val="center"/>
                </w:tcPr>
                <w:p w14:paraId="3E51D085">
                  <w:pPr>
                    <w:jc w:val="center"/>
                    <w:rPr>
                      <w:rFonts w:ascii="宋体" w:hAnsi="宋体" w:eastAsia="宋体" w:cs="宋体"/>
                      <w:szCs w:val="21"/>
                    </w:rPr>
                  </w:pPr>
                  <w:r>
                    <w:rPr>
                      <w:rFonts w:hint="eastAsia" w:ascii="宋体" w:hAnsi="宋体"/>
                      <w:szCs w:val="21"/>
                      <w:lang w:val="sv-SE"/>
                    </w:rPr>
                    <w:t>全自动凯氏定氮系统</w:t>
                  </w:r>
                </w:p>
              </w:tc>
              <w:tc>
                <w:tcPr>
                  <w:tcW w:w="1221" w:type="dxa"/>
                  <w:vAlign w:val="center"/>
                </w:tcPr>
                <w:p w14:paraId="680D7040">
                  <w:pPr>
                    <w:jc w:val="center"/>
                    <w:rPr>
                      <w:rFonts w:ascii="宋体" w:hAnsi="宋体" w:eastAsia="宋体" w:cs="宋体"/>
                      <w:szCs w:val="21"/>
                    </w:rPr>
                  </w:pPr>
                  <w:r>
                    <w:rPr>
                      <w:rFonts w:hint="eastAsia" w:ascii="宋体" w:hAnsi="宋体" w:eastAsia="宋体" w:cs="宋体"/>
                      <w:szCs w:val="21"/>
                    </w:rPr>
                    <w:t>套</w:t>
                  </w:r>
                </w:p>
              </w:tc>
              <w:tc>
                <w:tcPr>
                  <w:tcW w:w="1266" w:type="dxa"/>
                  <w:vAlign w:val="center"/>
                </w:tcPr>
                <w:p w14:paraId="67ACBEE6">
                  <w:pPr>
                    <w:jc w:val="center"/>
                    <w:rPr>
                      <w:rFonts w:ascii="宋体" w:hAnsi="宋体" w:eastAsia="宋体" w:cs="宋体"/>
                      <w:szCs w:val="21"/>
                    </w:rPr>
                  </w:pPr>
                  <w:r>
                    <w:rPr>
                      <w:rFonts w:hint="eastAsia" w:ascii="宋体" w:hAnsi="宋体" w:eastAsia="宋体" w:cs="宋体"/>
                      <w:szCs w:val="21"/>
                    </w:rPr>
                    <w:t>1</w:t>
                  </w:r>
                </w:p>
              </w:tc>
            </w:tr>
            <w:tr w14:paraId="5318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3325EF06">
                  <w:pPr>
                    <w:jc w:val="center"/>
                    <w:rPr>
                      <w:rFonts w:ascii="宋体" w:hAnsi="宋体" w:eastAsia="宋体" w:cs="宋体"/>
                      <w:szCs w:val="21"/>
                    </w:rPr>
                  </w:pPr>
                  <w:r>
                    <w:rPr>
                      <w:rFonts w:hint="eastAsia" w:ascii="宋体" w:hAnsi="宋体" w:eastAsia="宋体" w:cs="宋体"/>
                      <w:szCs w:val="21"/>
                    </w:rPr>
                    <w:t>2</w:t>
                  </w:r>
                </w:p>
              </w:tc>
              <w:tc>
                <w:tcPr>
                  <w:tcW w:w="2528" w:type="dxa"/>
                  <w:vAlign w:val="center"/>
                </w:tcPr>
                <w:p w14:paraId="3BA8262E">
                  <w:pPr>
                    <w:jc w:val="center"/>
                    <w:rPr>
                      <w:rFonts w:ascii="宋体" w:hAnsi="宋体" w:eastAsia="宋体" w:cs="宋体"/>
                      <w:szCs w:val="21"/>
                    </w:rPr>
                  </w:pPr>
                  <w:r>
                    <w:rPr>
                      <w:rFonts w:hint="eastAsia" w:ascii="宋体" w:hAnsi="宋体"/>
                      <w:szCs w:val="21"/>
                      <w:lang w:val="sv-SE"/>
                    </w:rPr>
                    <w:t>20位消化炉</w:t>
                  </w:r>
                </w:p>
              </w:tc>
              <w:tc>
                <w:tcPr>
                  <w:tcW w:w="1221" w:type="dxa"/>
                  <w:vAlign w:val="center"/>
                </w:tcPr>
                <w:p w14:paraId="4FB1684E">
                  <w:pPr>
                    <w:jc w:val="center"/>
                    <w:rPr>
                      <w:rFonts w:ascii="宋体" w:hAnsi="宋体" w:eastAsia="宋体" w:cs="宋体"/>
                      <w:szCs w:val="21"/>
                    </w:rPr>
                  </w:pPr>
                  <w:r>
                    <w:rPr>
                      <w:rFonts w:hint="eastAsia" w:ascii="宋体" w:hAnsi="宋体" w:eastAsia="宋体" w:cs="宋体"/>
                      <w:szCs w:val="21"/>
                    </w:rPr>
                    <w:t>台</w:t>
                  </w:r>
                </w:p>
              </w:tc>
              <w:tc>
                <w:tcPr>
                  <w:tcW w:w="1266" w:type="dxa"/>
                  <w:vAlign w:val="center"/>
                </w:tcPr>
                <w:p w14:paraId="6D3E41D5">
                  <w:pPr>
                    <w:jc w:val="center"/>
                    <w:rPr>
                      <w:rFonts w:ascii="宋体" w:hAnsi="宋体" w:eastAsia="宋体" w:cs="宋体"/>
                      <w:szCs w:val="21"/>
                    </w:rPr>
                  </w:pPr>
                  <w:r>
                    <w:rPr>
                      <w:rFonts w:hint="eastAsia" w:ascii="宋体" w:hAnsi="宋体" w:eastAsia="宋体" w:cs="宋体"/>
                      <w:szCs w:val="21"/>
                    </w:rPr>
                    <w:t>1</w:t>
                  </w:r>
                </w:p>
              </w:tc>
            </w:tr>
            <w:tr w14:paraId="27A9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1004C060">
                  <w:pPr>
                    <w:jc w:val="center"/>
                    <w:rPr>
                      <w:rFonts w:ascii="宋体" w:hAnsi="宋体" w:eastAsia="宋体" w:cs="宋体"/>
                      <w:szCs w:val="21"/>
                    </w:rPr>
                  </w:pPr>
                  <w:r>
                    <w:rPr>
                      <w:rFonts w:hint="eastAsia" w:ascii="宋体" w:hAnsi="宋体" w:eastAsia="宋体" w:cs="宋体"/>
                      <w:szCs w:val="21"/>
                    </w:rPr>
                    <w:t>3</w:t>
                  </w:r>
                </w:p>
              </w:tc>
              <w:tc>
                <w:tcPr>
                  <w:tcW w:w="2528" w:type="dxa"/>
                  <w:vAlign w:val="center"/>
                </w:tcPr>
                <w:p w14:paraId="646BA604">
                  <w:pPr>
                    <w:jc w:val="center"/>
                    <w:rPr>
                      <w:rFonts w:ascii="宋体" w:hAnsi="宋体" w:eastAsia="宋体" w:cs="宋体"/>
                      <w:szCs w:val="21"/>
                    </w:rPr>
                  </w:pPr>
                  <w:r>
                    <w:rPr>
                      <w:rFonts w:hint="eastAsia" w:ascii="宋体" w:hAnsi="宋体"/>
                      <w:szCs w:val="21"/>
                      <w:lang w:val="sv-SE"/>
                    </w:rPr>
                    <w:t>排废罩</w:t>
                  </w:r>
                </w:p>
              </w:tc>
              <w:tc>
                <w:tcPr>
                  <w:tcW w:w="1221" w:type="dxa"/>
                  <w:vAlign w:val="center"/>
                </w:tcPr>
                <w:p w14:paraId="7EB9D92A">
                  <w:pPr>
                    <w:jc w:val="center"/>
                    <w:rPr>
                      <w:rFonts w:ascii="宋体" w:hAnsi="宋体" w:eastAsia="宋体" w:cs="宋体"/>
                      <w:szCs w:val="21"/>
                    </w:rPr>
                  </w:pPr>
                  <w:r>
                    <w:rPr>
                      <w:rFonts w:hint="eastAsia" w:ascii="宋体" w:hAnsi="宋体" w:eastAsia="宋体" w:cs="宋体"/>
                      <w:szCs w:val="21"/>
                    </w:rPr>
                    <w:t>个</w:t>
                  </w:r>
                </w:p>
              </w:tc>
              <w:tc>
                <w:tcPr>
                  <w:tcW w:w="1266" w:type="dxa"/>
                  <w:vAlign w:val="center"/>
                </w:tcPr>
                <w:p w14:paraId="2FA221A6">
                  <w:pPr>
                    <w:jc w:val="center"/>
                    <w:rPr>
                      <w:rFonts w:ascii="宋体" w:hAnsi="宋体" w:eastAsia="宋体" w:cs="宋体"/>
                      <w:szCs w:val="21"/>
                    </w:rPr>
                  </w:pPr>
                  <w:r>
                    <w:rPr>
                      <w:rFonts w:hint="eastAsia" w:ascii="宋体" w:hAnsi="宋体" w:eastAsia="宋体" w:cs="宋体"/>
                      <w:szCs w:val="21"/>
                    </w:rPr>
                    <w:t>1</w:t>
                  </w:r>
                </w:p>
              </w:tc>
            </w:tr>
            <w:tr w14:paraId="1C92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317090D1">
                  <w:pPr>
                    <w:jc w:val="center"/>
                    <w:rPr>
                      <w:rFonts w:ascii="宋体" w:hAnsi="宋体" w:eastAsia="宋体" w:cs="宋体"/>
                      <w:szCs w:val="21"/>
                    </w:rPr>
                  </w:pPr>
                  <w:r>
                    <w:rPr>
                      <w:rFonts w:hint="eastAsia" w:ascii="宋体" w:hAnsi="宋体" w:eastAsia="宋体" w:cs="宋体"/>
                      <w:szCs w:val="21"/>
                    </w:rPr>
                    <w:t>4</w:t>
                  </w:r>
                </w:p>
              </w:tc>
              <w:tc>
                <w:tcPr>
                  <w:tcW w:w="2528" w:type="dxa"/>
                  <w:vAlign w:val="center"/>
                </w:tcPr>
                <w:p w14:paraId="5181346D">
                  <w:pPr>
                    <w:jc w:val="center"/>
                    <w:rPr>
                      <w:rFonts w:ascii="宋体" w:hAnsi="宋体" w:eastAsia="宋体" w:cs="宋体"/>
                      <w:szCs w:val="21"/>
                    </w:rPr>
                  </w:pPr>
                  <w:r>
                    <w:rPr>
                      <w:rFonts w:hint="eastAsia" w:ascii="宋体" w:hAnsi="宋体"/>
                      <w:szCs w:val="21"/>
                      <w:lang w:val="sv-SE"/>
                    </w:rPr>
                    <w:t>250ml消化管</w:t>
                  </w:r>
                </w:p>
              </w:tc>
              <w:tc>
                <w:tcPr>
                  <w:tcW w:w="1221" w:type="dxa"/>
                  <w:vAlign w:val="center"/>
                </w:tcPr>
                <w:p w14:paraId="6FB40829">
                  <w:pPr>
                    <w:jc w:val="center"/>
                    <w:rPr>
                      <w:rFonts w:ascii="宋体" w:hAnsi="宋体" w:eastAsia="宋体" w:cs="宋体"/>
                      <w:szCs w:val="21"/>
                    </w:rPr>
                  </w:pPr>
                  <w:r>
                    <w:rPr>
                      <w:rFonts w:hint="eastAsia" w:ascii="宋体" w:hAnsi="宋体" w:eastAsia="宋体" w:cs="宋体"/>
                      <w:szCs w:val="21"/>
                    </w:rPr>
                    <w:t>只</w:t>
                  </w:r>
                </w:p>
              </w:tc>
              <w:tc>
                <w:tcPr>
                  <w:tcW w:w="1266" w:type="dxa"/>
                  <w:vAlign w:val="center"/>
                </w:tcPr>
                <w:p w14:paraId="60D2C3FB">
                  <w:pPr>
                    <w:jc w:val="center"/>
                    <w:rPr>
                      <w:rFonts w:ascii="宋体" w:hAnsi="宋体" w:eastAsia="宋体" w:cs="宋体"/>
                      <w:szCs w:val="21"/>
                    </w:rPr>
                  </w:pPr>
                  <w:r>
                    <w:rPr>
                      <w:rFonts w:hint="eastAsia" w:ascii="宋体" w:hAnsi="宋体" w:eastAsia="宋体" w:cs="宋体"/>
                      <w:szCs w:val="21"/>
                    </w:rPr>
                    <w:t>60</w:t>
                  </w:r>
                </w:p>
              </w:tc>
            </w:tr>
            <w:tr w14:paraId="32CB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1CCD8614">
                  <w:pPr>
                    <w:jc w:val="center"/>
                    <w:rPr>
                      <w:rFonts w:ascii="宋体" w:hAnsi="宋体" w:eastAsia="宋体" w:cs="宋体"/>
                      <w:szCs w:val="21"/>
                    </w:rPr>
                  </w:pPr>
                  <w:r>
                    <w:rPr>
                      <w:rFonts w:hint="eastAsia" w:ascii="宋体" w:hAnsi="宋体" w:eastAsia="宋体" w:cs="宋体"/>
                      <w:szCs w:val="21"/>
                    </w:rPr>
                    <w:t>5</w:t>
                  </w:r>
                </w:p>
              </w:tc>
              <w:tc>
                <w:tcPr>
                  <w:tcW w:w="2528" w:type="dxa"/>
                  <w:vAlign w:val="center"/>
                </w:tcPr>
                <w:p w14:paraId="7E99CCB8">
                  <w:pPr>
                    <w:jc w:val="center"/>
                    <w:rPr>
                      <w:rFonts w:ascii="宋体" w:hAnsi="宋体" w:eastAsia="宋体" w:cs="宋体"/>
                      <w:szCs w:val="21"/>
                    </w:rPr>
                  </w:pPr>
                  <w:r>
                    <w:rPr>
                      <w:rFonts w:hint="eastAsia" w:ascii="宋体" w:hAnsi="宋体"/>
                      <w:szCs w:val="21"/>
                      <w:lang w:val="sv-SE"/>
                    </w:rPr>
                    <w:t>消化管架</w:t>
                  </w:r>
                </w:p>
              </w:tc>
              <w:tc>
                <w:tcPr>
                  <w:tcW w:w="1221" w:type="dxa"/>
                  <w:vAlign w:val="center"/>
                </w:tcPr>
                <w:p w14:paraId="7758B679">
                  <w:pPr>
                    <w:jc w:val="center"/>
                    <w:rPr>
                      <w:rFonts w:ascii="宋体" w:hAnsi="宋体" w:eastAsia="宋体" w:cs="宋体"/>
                      <w:szCs w:val="21"/>
                    </w:rPr>
                  </w:pPr>
                  <w:r>
                    <w:rPr>
                      <w:rFonts w:hint="eastAsia" w:ascii="宋体" w:hAnsi="宋体" w:eastAsia="宋体" w:cs="宋体"/>
                      <w:szCs w:val="21"/>
                    </w:rPr>
                    <w:t>个</w:t>
                  </w:r>
                </w:p>
              </w:tc>
              <w:tc>
                <w:tcPr>
                  <w:tcW w:w="1266" w:type="dxa"/>
                  <w:vAlign w:val="center"/>
                </w:tcPr>
                <w:p w14:paraId="47F3B0E9">
                  <w:pPr>
                    <w:jc w:val="center"/>
                    <w:rPr>
                      <w:rFonts w:ascii="宋体" w:hAnsi="宋体" w:eastAsia="宋体" w:cs="宋体"/>
                      <w:szCs w:val="21"/>
                    </w:rPr>
                  </w:pPr>
                  <w:r>
                    <w:rPr>
                      <w:rFonts w:hint="eastAsia" w:ascii="宋体" w:hAnsi="宋体" w:eastAsia="宋体" w:cs="宋体"/>
                      <w:szCs w:val="21"/>
                    </w:rPr>
                    <w:t>2</w:t>
                  </w:r>
                </w:p>
              </w:tc>
            </w:tr>
            <w:tr w14:paraId="5F43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14:paraId="3129EC99">
                  <w:pPr>
                    <w:jc w:val="center"/>
                    <w:rPr>
                      <w:rFonts w:ascii="宋体" w:hAnsi="宋体" w:eastAsia="宋体" w:cs="宋体"/>
                      <w:szCs w:val="21"/>
                    </w:rPr>
                  </w:pPr>
                  <w:r>
                    <w:rPr>
                      <w:rFonts w:hint="eastAsia" w:ascii="宋体" w:hAnsi="宋体" w:eastAsia="宋体" w:cs="宋体"/>
                      <w:szCs w:val="21"/>
                    </w:rPr>
                    <w:t>6</w:t>
                  </w:r>
                </w:p>
              </w:tc>
              <w:tc>
                <w:tcPr>
                  <w:tcW w:w="2528" w:type="dxa"/>
                  <w:vAlign w:val="center"/>
                </w:tcPr>
                <w:p w14:paraId="09D919FE">
                  <w:pPr>
                    <w:jc w:val="center"/>
                    <w:rPr>
                      <w:rFonts w:ascii="宋体" w:hAnsi="宋体" w:eastAsia="宋体" w:cs="宋体"/>
                      <w:szCs w:val="21"/>
                    </w:rPr>
                  </w:pPr>
                  <w:r>
                    <w:rPr>
                      <w:rFonts w:hint="eastAsia" w:ascii="宋体" w:hAnsi="宋体"/>
                      <w:szCs w:val="21"/>
                      <w:lang w:val="sv-SE"/>
                    </w:rPr>
                    <w:t>催化剂</w:t>
                  </w:r>
                </w:p>
              </w:tc>
              <w:tc>
                <w:tcPr>
                  <w:tcW w:w="1221" w:type="dxa"/>
                  <w:vAlign w:val="center"/>
                </w:tcPr>
                <w:p w14:paraId="4CE194B6">
                  <w:pPr>
                    <w:jc w:val="center"/>
                    <w:rPr>
                      <w:rFonts w:ascii="宋体" w:hAnsi="宋体" w:eastAsia="宋体" w:cs="宋体"/>
                      <w:szCs w:val="21"/>
                    </w:rPr>
                  </w:pPr>
                  <w:r>
                    <w:rPr>
                      <w:rFonts w:hint="eastAsia" w:ascii="宋体" w:hAnsi="宋体" w:eastAsia="宋体" w:cs="宋体"/>
                      <w:szCs w:val="21"/>
                    </w:rPr>
                    <w:t>片</w:t>
                  </w:r>
                </w:p>
              </w:tc>
              <w:tc>
                <w:tcPr>
                  <w:tcW w:w="1266" w:type="dxa"/>
                  <w:vAlign w:val="center"/>
                </w:tcPr>
                <w:p w14:paraId="646A763F">
                  <w:pPr>
                    <w:jc w:val="center"/>
                    <w:rPr>
                      <w:rFonts w:ascii="宋体" w:hAnsi="宋体" w:eastAsia="宋体" w:cs="宋体"/>
                      <w:szCs w:val="21"/>
                    </w:rPr>
                  </w:pPr>
                  <w:r>
                    <w:rPr>
                      <w:rFonts w:hint="eastAsia" w:ascii="宋体" w:hAnsi="宋体" w:eastAsia="宋体" w:cs="宋体"/>
                      <w:szCs w:val="21"/>
                    </w:rPr>
                    <w:t>2000</w:t>
                  </w:r>
                </w:p>
              </w:tc>
            </w:tr>
          </w:tbl>
          <w:p w14:paraId="35DCBDE6">
            <w:pPr>
              <w:spacing w:line="360" w:lineRule="auto"/>
              <w:rPr>
                <w:rFonts w:ascii="宋体" w:hAnsi="宋体"/>
                <w:szCs w:val="21"/>
                <w:lang w:val="sv-SE"/>
              </w:rPr>
            </w:pPr>
          </w:p>
        </w:tc>
      </w:tr>
    </w:tbl>
    <w:p w14:paraId="59D53393">
      <w:pPr>
        <w:rPr>
          <w:rFonts w:hint="eastAsia" w:asciiTheme="minorEastAsia" w:hAnsiTheme="minorEastAsia"/>
        </w:rPr>
      </w:pPr>
      <w:r>
        <w:rPr>
          <w:rFonts w:hint="eastAsia" w:asciiTheme="minorEastAsia" w:hAnsiTheme="minorEastAsia"/>
        </w:rPr>
        <w:br w:type="page"/>
      </w:r>
    </w:p>
    <w:p w14:paraId="21D020FF">
      <w:pPr>
        <w:outlineLvl w:val="1"/>
        <w:rPr>
          <w:rFonts w:asciiTheme="minorEastAsia" w:hAnsiTheme="minorEastAsia"/>
          <w:u w:val="single"/>
        </w:rPr>
      </w:pPr>
      <w:r>
        <w:rPr>
          <w:rFonts w:hint="eastAsia" w:asciiTheme="minorEastAsia" w:hAnsiTheme="minorEastAsia"/>
        </w:rPr>
        <w:t>附表二：</w:t>
      </w:r>
      <w:r>
        <w:rPr>
          <w:rFonts w:hint="eastAsia"/>
          <w:b/>
          <w:bCs/>
          <w:szCs w:val="21"/>
        </w:rPr>
        <w:t>近红外品质测定仪</w:t>
      </w:r>
      <w:r>
        <w:rPr>
          <w:rFonts w:hint="eastAsia" w:asciiTheme="minorEastAsia" w:hAnsiTheme="minorEastAsia"/>
        </w:rPr>
        <w:t xml:space="preserve">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684"/>
        <w:gridCol w:w="6857"/>
      </w:tblGrid>
      <w:tr w14:paraId="2810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1EBBD7E2">
            <w:pPr>
              <w:jc w:val="center"/>
              <w:rPr>
                <w:rFonts w:asciiTheme="minorEastAsia" w:hAnsiTheme="minorEastAsia"/>
                <w:b/>
              </w:rPr>
            </w:pPr>
            <w:r>
              <w:rPr>
                <w:rFonts w:hint="eastAsia" w:asciiTheme="minorEastAsia" w:hAnsiTheme="minorEastAsia"/>
                <w:b/>
              </w:rPr>
              <w:t>参数性质</w:t>
            </w:r>
          </w:p>
        </w:tc>
        <w:tc>
          <w:tcPr>
            <w:tcW w:w="684" w:type="dxa"/>
          </w:tcPr>
          <w:p w14:paraId="35AF6549">
            <w:pPr>
              <w:jc w:val="center"/>
              <w:rPr>
                <w:rFonts w:asciiTheme="minorEastAsia" w:hAnsiTheme="minorEastAsia"/>
                <w:b/>
              </w:rPr>
            </w:pPr>
            <w:r>
              <w:rPr>
                <w:rFonts w:hint="eastAsia" w:asciiTheme="minorEastAsia" w:hAnsiTheme="minorEastAsia"/>
                <w:b/>
              </w:rPr>
              <w:t>编号</w:t>
            </w:r>
          </w:p>
        </w:tc>
        <w:tc>
          <w:tcPr>
            <w:tcW w:w="6857" w:type="dxa"/>
          </w:tcPr>
          <w:p w14:paraId="24F5717B">
            <w:pPr>
              <w:jc w:val="center"/>
              <w:rPr>
                <w:rFonts w:asciiTheme="minorEastAsia" w:hAnsiTheme="minorEastAsia"/>
                <w:b/>
              </w:rPr>
            </w:pPr>
            <w:r>
              <w:rPr>
                <w:rFonts w:hint="eastAsia" w:asciiTheme="minorEastAsia" w:hAnsiTheme="minorEastAsia"/>
                <w:b/>
              </w:rPr>
              <w:t>具体技术(参数)要求</w:t>
            </w:r>
          </w:p>
        </w:tc>
      </w:tr>
      <w:tr w14:paraId="28EE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7D028571">
            <w:pPr>
              <w:jc w:val="center"/>
              <w:rPr>
                <w:rFonts w:asciiTheme="minorEastAsia" w:hAnsiTheme="minorEastAsia"/>
              </w:rPr>
            </w:pPr>
          </w:p>
        </w:tc>
        <w:tc>
          <w:tcPr>
            <w:tcW w:w="684" w:type="dxa"/>
          </w:tcPr>
          <w:p w14:paraId="2B401B03">
            <w:pPr>
              <w:jc w:val="center"/>
              <w:rPr>
                <w:rFonts w:asciiTheme="minorEastAsia" w:hAnsiTheme="minorEastAsia"/>
              </w:rPr>
            </w:pPr>
          </w:p>
        </w:tc>
        <w:tc>
          <w:tcPr>
            <w:tcW w:w="6857" w:type="dxa"/>
          </w:tcPr>
          <w:p w14:paraId="4B01DD80">
            <w:pPr>
              <w:spacing w:line="360" w:lineRule="auto"/>
              <w:rPr>
                <w:rFonts w:ascii="宋体" w:hAnsi="宋体"/>
                <w:szCs w:val="21"/>
              </w:rPr>
            </w:pPr>
            <w:r>
              <w:rPr>
                <w:rFonts w:hint="eastAsia" w:ascii="宋体" w:hAnsi="宋体"/>
                <w:szCs w:val="21"/>
              </w:rPr>
              <w:t>一、用途</w:t>
            </w:r>
          </w:p>
          <w:p w14:paraId="5565A548">
            <w:pPr>
              <w:spacing w:line="360" w:lineRule="auto"/>
              <w:ind w:firstLine="420" w:firstLineChars="200"/>
              <w:rPr>
                <w:rFonts w:ascii="宋体" w:hAnsi="宋体"/>
                <w:szCs w:val="21"/>
                <w:lang w:val="sv-SE"/>
              </w:rPr>
            </w:pPr>
            <w:r>
              <w:rPr>
                <w:rFonts w:hint="eastAsia" w:ascii="宋体" w:hAnsi="宋体"/>
                <w:szCs w:val="21"/>
                <w:lang w:val="sv-SE"/>
              </w:rPr>
              <w:t>主要用于肉制品物性指标检测、品质数据采集分析、加工工艺优化及智能化品质研究，为肉制品品质评价、工艺改良、产品研发及质量标准化管控提供精准检测与数据支撑。</w:t>
            </w:r>
            <w:r>
              <w:rPr>
                <w:rFonts w:hint="eastAsia" w:ascii="宋体" w:hAnsi="宋体"/>
                <w:szCs w:val="21"/>
              </w:rPr>
              <w:t>同时兼顾</w:t>
            </w:r>
            <w:r>
              <w:rPr>
                <w:rFonts w:hint="eastAsia" w:ascii="宋体" w:hAnsi="宋体"/>
                <w:szCs w:val="21"/>
                <w:lang w:val="sv-SE"/>
              </w:rPr>
              <w:t>其他畜禽水产肉样品、饲料、宠物食品等样品的品质快速分析，可实现蛋白质、脂肪、水分、胶原、盐分等多项理化指标的快速定量检测。</w:t>
            </w:r>
          </w:p>
          <w:p w14:paraId="67067E20">
            <w:pPr>
              <w:spacing w:line="360" w:lineRule="auto"/>
              <w:rPr>
                <w:rFonts w:ascii="宋体" w:hAnsi="宋体"/>
                <w:szCs w:val="21"/>
              </w:rPr>
            </w:pPr>
            <w:r>
              <w:rPr>
                <w:rFonts w:hint="eastAsia" w:ascii="宋体" w:hAnsi="宋体"/>
                <w:szCs w:val="21"/>
              </w:rPr>
              <w:t>二、技术参数</w:t>
            </w:r>
          </w:p>
          <w:p w14:paraId="3C32FE1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1.光栅分光近红外漫反射和透反射，需要直接测定未经任何处理的原始颗粒、粉末的有关组份。</w:t>
            </w:r>
          </w:p>
          <w:p w14:paraId="22189896">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▲2.波长范围：扫描波长范围不小于850～2500nm。</w:t>
            </w:r>
          </w:p>
          <w:p w14:paraId="2F6FF33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3.扫描方式：单波长快速扫描、光谱平均方式。</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▲4.检测器：硅(至少涵盖850～1100nm)和硫化铅（至少涵盖1100nm～2500nm），双检测器同时工作。（需提供宣传彩页佐证，并用醒目的方式进行标记。）</w:t>
            </w:r>
          </w:p>
          <w:p w14:paraId="48E3E52F">
            <w:pPr>
              <w:spacing w:line="360" w:lineRule="auto"/>
              <w:ind w:left="420" w:leftChars="200"/>
              <w:rPr>
                <w:rFonts w:cs="仿宋" w:asciiTheme="minorEastAsia" w:hAnsiTheme="minorEastAsia"/>
                <w:szCs w:val="21"/>
                <w:lang w:bidi="ar"/>
              </w:rPr>
            </w:pPr>
            <w:r>
              <w:rPr>
                <w:rFonts w:hint="eastAsia" w:cs="仿宋" w:asciiTheme="minorEastAsia" w:hAnsiTheme="minorEastAsia"/>
                <w:szCs w:val="21"/>
                <w:lang w:bidi="ar"/>
              </w:rPr>
              <w:t xml:space="preserve">5.波长精确度：≤0.005nm；波长准确性：≤0.05nm； </w:t>
            </w:r>
          </w:p>
          <w:p w14:paraId="0378C77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6.固体样品扫描：光斑直径不少于15mm，样品可直接填满样品杯底部，形成样品平面；分光系统和检测器均处于仪器下部，光路自下往上扫描样品平面后重新收集并进入检测器进行检测，形成密闭光路，不受外界环境影响。</w:t>
            </w:r>
          </w:p>
          <w:p w14:paraId="1C77AC36">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▲7.配套原厂镀金反射板(光程≥0.5mm)，用于液体样品分析。（需要提供实物图片，并用醒目的方式进行标记）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8.无需刮平样品表面，光源不直接照射到样品上，必须通过特殊的玻璃介质，需要符合ISO 12099-201</w:t>
            </w:r>
            <w:r>
              <w:rPr>
                <w:rFonts w:hint="eastAsia" w:cs="仿宋" w:asciiTheme="minorEastAsia" w:hAnsiTheme="minorEastAsia"/>
                <w:szCs w:val="21"/>
                <w:lang w:val="en-US" w:eastAsia="zh-CN" w:bidi="ar"/>
              </w:rPr>
              <w:t>7《动物饲料、谷物及谷物加工制品 近红外光谱法应用指南》</w:t>
            </w:r>
            <w:r>
              <w:rPr>
                <w:rFonts w:hint="eastAsia" w:cs="仿宋" w:asciiTheme="minorEastAsia" w:hAnsiTheme="minorEastAsia"/>
                <w:szCs w:val="21"/>
                <w:lang w:bidi="ar"/>
              </w:rPr>
              <w:t>要求。</w:t>
            </w:r>
          </w:p>
          <w:p w14:paraId="48018F6A">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9.通过超声传感器自动识别并调整样品杯位置，避免灰尘干扰进样分析。仪器防水防尘，符合IP65标准。</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10.数据可追溯性：启动运行后，设备5秒内自动识别样品信息（包括样品类别、编号、温度等），自动选择定标方程，杜绝操作时装错样品。可在操作软件上设置并显示样品信息。需提供佐证材料，如说明书截图或者仪器操作界面照片，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11.扫描及分析软件：具有样品扫描，光谱和结果的自动保存和输出功能。扫描软件须提供近红外仪器诊断程序，并具有对诊断结果的保存，打印和跟踪功能，并提供相应诊断结果书。可使用外置电脑进行联机使用，无限量存储各种数据库和日常检测的样品信息，包括光谱信息和理化指标。</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12.可设置仪器每天开机和关机时间，正式测样前1小时自动开机预热，自动进行仪器自检诊断功能，人员到位即可进行分析，无需等待；可设置数据自动备份（至少可以每天备份1次）。需提供佐证材料，如说明书截图或者仪器操作界面照片，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13.仪器拥有内部波长校准功能，并随货提供光密度校准工具，保证仪器即使在恶劣环境下使用仍能保持优越且稳定的光学性能。</w:t>
            </w:r>
          </w:p>
          <w:p w14:paraId="3C48633F">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▲14.拥有猪肉定标，检测指标：脂肪、蛋白、水分、胶原、盐。每个指标样品量不少于150个。（投标时需提供数据库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p>
          <w:p w14:paraId="08DCDAA8">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15.宠物食品定标，包括成犬、幼犬、猫粮，检测指标包括蛋白、脂肪、水分、纤维、灰分。</w:t>
            </w:r>
          </w:p>
          <w:p w14:paraId="2CDB6D6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16.拥有饲料定标，饲料原料（DDGS/酒糟/菜籽饼/菜籽粕/次粉/大豆浓缩蛋白/豆皮/豆粕/高粱/花生饼/花生粕/麦麸/米糠/啤酒糟/肉粉/肉骨粉/鱼粉/碎米/小麦/血粉等等）、全价料浓缩料（蛋鸡/蛋鸭/牛羊精补料/牛羊浓缩料/肉鸡/肉鸭/乳猪/小猪/中大猪/母猪/虾蟹/鱼料等等）样品的定标数据库，包括蛋白，脂肪，纤维，水分等。</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▲17.拥有大豆定标，检测指标：ASP-天冬氨酸，PHE-苯丙氨酸，ALA-丙氨酸，MET-蛋氨酸等不少于15种氨基酸，C160-棕榈酸，C 180-硬脂酸，C 181-油酸等不少于4种脂肪酸。每个指标样品量不少于300个。（投标时需提供数据库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▲18.拥有油菜籽数据库，超过10个指标，包括硫甙、芥酸含量、棕榈酸、硬脂酸、油酸、亚油酸、花生酸、山嵛酸等，每个指标样品量不少于300个。（投标时需提供数据库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▲19.拥有土壤数据库，检测指标：有机质、全氮、全磷、全钾、速效氮、氨氮等不少于10个指标。每个指标样品量不少于300个。（投标时需提供数据库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p>
          <w:p w14:paraId="67A92711">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▲20.拥有甜玉米数据库，检测指标：TS-总多糖；WSC-水溶性多糖；Glucose-葡萄糖；Fructose-果糖等。每个指标样品量不少于300个。（投标时需提供数据库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p>
          <w:p w14:paraId="4CBFA66A">
            <w:pPr>
              <w:spacing w:line="360" w:lineRule="auto"/>
              <w:ind w:firstLine="420" w:firstLineChars="200"/>
              <w:rPr>
                <w:rFonts w:ascii="宋体" w:hAnsi="宋体"/>
                <w:szCs w:val="21"/>
              </w:rPr>
            </w:pPr>
            <w:r>
              <w:rPr>
                <w:rFonts w:hint="eastAsia" w:cs="仿宋" w:asciiTheme="minorEastAsia" w:hAnsiTheme="minorEastAsia"/>
                <w:szCs w:val="21"/>
                <w:lang w:bidi="ar"/>
              </w:rPr>
              <w:t>21.拥有甘蔗糖、玉米蛋白粉、马铃薯、木薯粉等样品。（投标时需提供数据库</w:t>
            </w:r>
            <w:r>
              <w:rPr>
                <w:rFonts w:hint="eastAsia" w:cs="仿宋" w:asciiTheme="minorEastAsia" w:hAnsiTheme="minorEastAsia"/>
                <w:szCs w:val="21"/>
                <w:lang w:val="en-US" w:eastAsia="zh-CN" w:bidi="ar"/>
              </w:rPr>
              <w:t>数据资料</w:t>
            </w:r>
            <w:r>
              <w:rPr>
                <w:rFonts w:hint="eastAsia" w:cs="仿宋" w:asciiTheme="minorEastAsia" w:hAnsiTheme="minorEastAsia"/>
                <w:szCs w:val="21"/>
                <w:lang w:bidi="ar"/>
              </w:rPr>
              <w:t>佐证，并用醒目的方式进行标记。）</w:t>
            </w:r>
            <w:r>
              <w:rPr>
                <w:rFonts w:hint="eastAsia" w:cs="仿宋" w:asciiTheme="minorEastAsia" w:hAnsiTheme="minorEastAsia"/>
                <w:szCs w:val="21"/>
                <w:lang w:bidi="ar"/>
              </w:rPr>
              <w:br w:type="textWrapping"/>
            </w:r>
            <w:r>
              <w:rPr>
                <w:rFonts w:hint="eastAsia" w:cs="仿宋" w:asciiTheme="minorEastAsia" w:hAnsiTheme="minorEastAsia"/>
                <w:szCs w:val="21"/>
                <w:lang w:bidi="ar"/>
              </w:rPr>
              <w:t xml:space="preserve">    22.拥有定标技术：具有光谱剔除，合并，平均功能；具有光谱去散射处理，归一化、求导和平滑处理技术。在定量分析应用中，具有马氏距离量化应用功能，具有针对光谱扫描数据完成定标样品集的自动筛选功能，具有超范围样品的报警功能，具有参与定标模型升级样品的自动甄别功能。定量算法需具有MLR(多元线形回归和主要定标波长筛选技术)、PCR(主成分回归)、PLS(最小二乘法回归)，LOCAL(局部分速定标技术)、NH 和GH 光谱量化技术等服务农产品定标建立的功能。（需提供定标软件对应功能截图证明拥有以上定标技术，并用醒目的方式进行标记。）</w:t>
            </w:r>
          </w:p>
          <w:p w14:paraId="1545F137">
            <w:pPr>
              <w:spacing w:line="360" w:lineRule="auto"/>
              <w:rPr>
                <w:rFonts w:ascii="宋体" w:hAnsi="宋体"/>
                <w:szCs w:val="21"/>
              </w:rPr>
            </w:pPr>
            <w:r>
              <w:rPr>
                <w:rFonts w:hint="eastAsia" w:ascii="宋体" w:hAnsi="宋体"/>
                <w:szCs w:val="21"/>
              </w:rPr>
              <w:t>三、配置清单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538"/>
              <w:gridCol w:w="1225"/>
              <w:gridCol w:w="1269"/>
            </w:tblGrid>
            <w:tr w14:paraId="7630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330CD82F">
                  <w:pPr>
                    <w:jc w:val="center"/>
                    <w:rPr>
                      <w:rFonts w:ascii="宋体" w:hAnsi="宋体" w:eastAsia="宋体" w:cs="宋体"/>
                      <w:szCs w:val="21"/>
                    </w:rPr>
                  </w:pPr>
                  <w:r>
                    <w:rPr>
                      <w:rFonts w:hint="eastAsia" w:ascii="宋体" w:hAnsi="宋体" w:eastAsia="宋体" w:cs="宋体"/>
                      <w:szCs w:val="21"/>
                    </w:rPr>
                    <w:t>序号</w:t>
                  </w:r>
                </w:p>
              </w:tc>
              <w:tc>
                <w:tcPr>
                  <w:tcW w:w="2538" w:type="dxa"/>
                  <w:vAlign w:val="center"/>
                </w:tcPr>
                <w:p w14:paraId="10B3BAD4">
                  <w:pPr>
                    <w:jc w:val="center"/>
                    <w:rPr>
                      <w:rFonts w:ascii="宋体" w:hAnsi="宋体" w:eastAsia="宋体" w:cs="宋体"/>
                      <w:szCs w:val="21"/>
                    </w:rPr>
                  </w:pPr>
                  <w:r>
                    <w:rPr>
                      <w:rFonts w:hint="eastAsia" w:ascii="宋体" w:hAnsi="宋体" w:eastAsia="宋体" w:cs="宋体"/>
                      <w:szCs w:val="21"/>
                    </w:rPr>
                    <w:t>配置名称</w:t>
                  </w:r>
                </w:p>
              </w:tc>
              <w:tc>
                <w:tcPr>
                  <w:tcW w:w="1225" w:type="dxa"/>
                  <w:vAlign w:val="center"/>
                </w:tcPr>
                <w:p w14:paraId="1DDC7A71">
                  <w:pPr>
                    <w:jc w:val="center"/>
                    <w:rPr>
                      <w:rFonts w:ascii="宋体" w:hAnsi="宋体" w:eastAsia="宋体" w:cs="宋体"/>
                      <w:szCs w:val="21"/>
                    </w:rPr>
                  </w:pPr>
                  <w:r>
                    <w:rPr>
                      <w:rFonts w:hint="eastAsia" w:ascii="宋体" w:hAnsi="宋体" w:eastAsia="宋体" w:cs="宋体"/>
                      <w:szCs w:val="21"/>
                    </w:rPr>
                    <w:t>单位</w:t>
                  </w:r>
                </w:p>
              </w:tc>
              <w:tc>
                <w:tcPr>
                  <w:tcW w:w="1269" w:type="dxa"/>
                  <w:vAlign w:val="center"/>
                </w:tcPr>
                <w:p w14:paraId="51B8328C">
                  <w:pPr>
                    <w:jc w:val="center"/>
                    <w:rPr>
                      <w:rFonts w:ascii="宋体" w:hAnsi="宋体" w:eastAsia="宋体" w:cs="宋体"/>
                      <w:szCs w:val="21"/>
                    </w:rPr>
                  </w:pPr>
                  <w:r>
                    <w:rPr>
                      <w:rFonts w:hint="eastAsia" w:ascii="宋体" w:hAnsi="宋体" w:eastAsia="宋体" w:cs="宋体"/>
                      <w:szCs w:val="21"/>
                    </w:rPr>
                    <w:t>数量</w:t>
                  </w:r>
                </w:p>
              </w:tc>
            </w:tr>
            <w:tr w14:paraId="1E57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4207211A">
                  <w:pPr>
                    <w:jc w:val="center"/>
                    <w:rPr>
                      <w:rFonts w:ascii="宋体" w:hAnsi="宋体" w:eastAsia="宋体" w:cs="宋体"/>
                      <w:szCs w:val="21"/>
                    </w:rPr>
                  </w:pPr>
                  <w:r>
                    <w:rPr>
                      <w:rFonts w:hint="eastAsia" w:ascii="宋体" w:hAnsi="宋体" w:eastAsia="宋体" w:cs="宋体"/>
                      <w:szCs w:val="21"/>
                    </w:rPr>
                    <w:t>1</w:t>
                  </w:r>
                </w:p>
              </w:tc>
              <w:tc>
                <w:tcPr>
                  <w:tcW w:w="2538" w:type="dxa"/>
                  <w:vAlign w:val="center"/>
                </w:tcPr>
                <w:p w14:paraId="312B5983">
                  <w:pPr>
                    <w:jc w:val="center"/>
                    <w:rPr>
                      <w:rFonts w:ascii="宋体" w:hAnsi="宋体" w:eastAsia="宋体" w:cs="宋体"/>
                      <w:szCs w:val="21"/>
                    </w:rPr>
                  </w:pPr>
                  <w:r>
                    <w:rPr>
                      <w:rFonts w:hint="eastAsia" w:ascii="宋体" w:hAnsi="宋体" w:eastAsia="宋体" w:cs="宋体"/>
                      <w:szCs w:val="21"/>
                    </w:rPr>
                    <w:t>近红外品质测定仪主机</w:t>
                  </w:r>
                </w:p>
              </w:tc>
              <w:tc>
                <w:tcPr>
                  <w:tcW w:w="1225" w:type="dxa"/>
                  <w:vAlign w:val="center"/>
                </w:tcPr>
                <w:p w14:paraId="0F628464">
                  <w:pPr>
                    <w:jc w:val="center"/>
                    <w:rPr>
                      <w:rFonts w:ascii="宋体" w:hAnsi="宋体" w:eastAsia="宋体" w:cs="宋体"/>
                      <w:szCs w:val="21"/>
                    </w:rPr>
                  </w:pPr>
                  <w:r>
                    <w:rPr>
                      <w:rFonts w:hint="eastAsia" w:ascii="宋体" w:hAnsi="宋体" w:eastAsia="宋体" w:cs="宋体"/>
                      <w:szCs w:val="21"/>
                    </w:rPr>
                    <w:t>台</w:t>
                  </w:r>
                </w:p>
              </w:tc>
              <w:tc>
                <w:tcPr>
                  <w:tcW w:w="1269" w:type="dxa"/>
                  <w:vAlign w:val="center"/>
                </w:tcPr>
                <w:p w14:paraId="2FDC136E">
                  <w:pPr>
                    <w:jc w:val="center"/>
                    <w:rPr>
                      <w:rFonts w:ascii="宋体" w:hAnsi="宋体" w:eastAsia="宋体" w:cs="宋体"/>
                      <w:szCs w:val="21"/>
                    </w:rPr>
                  </w:pPr>
                  <w:r>
                    <w:rPr>
                      <w:rFonts w:hint="eastAsia" w:ascii="宋体" w:hAnsi="宋体" w:eastAsia="宋体" w:cs="宋体"/>
                      <w:szCs w:val="21"/>
                    </w:rPr>
                    <w:t>1</w:t>
                  </w:r>
                </w:p>
              </w:tc>
            </w:tr>
            <w:tr w14:paraId="62E7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67C0EEBD">
                  <w:pPr>
                    <w:jc w:val="center"/>
                    <w:rPr>
                      <w:rFonts w:ascii="宋体" w:hAnsi="宋体" w:eastAsia="宋体" w:cs="宋体"/>
                      <w:szCs w:val="21"/>
                    </w:rPr>
                  </w:pPr>
                  <w:r>
                    <w:rPr>
                      <w:rFonts w:hint="eastAsia" w:ascii="宋体" w:hAnsi="宋体" w:eastAsia="宋体" w:cs="宋体"/>
                      <w:szCs w:val="21"/>
                    </w:rPr>
                    <w:t>2</w:t>
                  </w:r>
                </w:p>
              </w:tc>
              <w:tc>
                <w:tcPr>
                  <w:tcW w:w="2538" w:type="dxa"/>
                  <w:vAlign w:val="center"/>
                </w:tcPr>
                <w:p w14:paraId="56B2F458">
                  <w:pPr>
                    <w:jc w:val="center"/>
                    <w:rPr>
                      <w:rFonts w:ascii="宋体" w:hAnsi="宋体" w:eastAsia="宋体" w:cs="宋体"/>
                      <w:szCs w:val="21"/>
                    </w:rPr>
                  </w:pPr>
                  <w:r>
                    <w:rPr>
                      <w:rFonts w:hint="eastAsia" w:ascii="宋体" w:hAnsi="宋体" w:eastAsia="宋体" w:cs="宋体"/>
                      <w:szCs w:val="21"/>
                    </w:rPr>
                    <w:t>大样品杯</w:t>
                  </w:r>
                </w:p>
              </w:tc>
              <w:tc>
                <w:tcPr>
                  <w:tcW w:w="1225" w:type="dxa"/>
                  <w:vAlign w:val="center"/>
                </w:tcPr>
                <w:p w14:paraId="2E5D05CC">
                  <w:pPr>
                    <w:jc w:val="center"/>
                    <w:rPr>
                      <w:rFonts w:ascii="宋体" w:hAnsi="宋体" w:eastAsia="宋体" w:cs="宋体"/>
                      <w:szCs w:val="21"/>
                    </w:rPr>
                  </w:pPr>
                  <w:r>
                    <w:rPr>
                      <w:rFonts w:hint="eastAsia" w:ascii="宋体" w:hAnsi="宋体" w:eastAsia="宋体" w:cs="宋体"/>
                      <w:szCs w:val="21"/>
                    </w:rPr>
                    <w:t>个</w:t>
                  </w:r>
                </w:p>
              </w:tc>
              <w:tc>
                <w:tcPr>
                  <w:tcW w:w="1269" w:type="dxa"/>
                  <w:vAlign w:val="center"/>
                </w:tcPr>
                <w:p w14:paraId="1A0AECD6">
                  <w:pPr>
                    <w:jc w:val="center"/>
                    <w:rPr>
                      <w:rFonts w:ascii="宋体" w:hAnsi="宋体" w:eastAsia="宋体" w:cs="宋体"/>
                      <w:szCs w:val="21"/>
                    </w:rPr>
                  </w:pPr>
                  <w:r>
                    <w:rPr>
                      <w:rFonts w:hint="eastAsia" w:ascii="宋体" w:hAnsi="宋体" w:eastAsia="宋体" w:cs="宋体"/>
                      <w:szCs w:val="21"/>
                    </w:rPr>
                    <w:t>5</w:t>
                  </w:r>
                </w:p>
              </w:tc>
            </w:tr>
            <w:tr w14:paraId="5C62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16CF5E9C">
                  <w:pPr>
                    <w:jc w:val="center"/>
                    <w:rPr>
                      <w:rFonts w:ascii="宋体" w:hAnsi="宋体" w:eastAsia="宋体" w:cs="宋体"/>
                      <w:szCs w:val="21"/>
                    </w:rPr>
                  </w:pPr>
                  <w:r>
                    <w:rPr>
                      <w:rFonts w:hint="eastAsia" w:ascii="宋体" w:hAnsi="宋体" w:eastAsia="宋体" w:cs="宋体"/>
                      <w:szCs w:val="21"/>
                    </w:rPr>
                    <w:t>3</w:t>
                  </w:r>
                </w:p>
              </w:tc>
              <w:tc>
                <w:tcPr>
                  <w:tcW w:w="2538" w:type="dxa"/>
                  <w:vAlign w:val="center"/>
                </w:tcPr>
                <w:p w14:paraId="4C997830">
                  <w:pPr>
                    <w:jc w:val="center"/>
                    <w:rPr>
                      <w:rFonts w:ascii="宋体" w:hAnsi="宋体" w:eastAsia="宋体" w:cs="宋体"/>
                      <w:szCs w:val="21"/>
                    </w:rPr>
                  </w:pPr>
                  <w:r>
                    <w:rPr>
                      <w:rFonts w:hint="eastAsia" w:ascii="宋体" w:hAnsi="宋体" w:eastAsia="宋体" w:cs="宋体"/>
                      <w:szCs w:val="21"/>
                    </w:rPr>
                    <w:t>小样品杯</w:t>
                  </w:r>
                </w:p>
              </w:tc>
              <w:tc>
                <w:tcPr>
                  <w:tcW w:w="1225" w:type="dxa"/>
                  <w:vAlign w:val="center"/>
                </w:tcPr>
                <w:p w14:paraId="680AC1C0">
                  <w:pPr>
                    <w:jc w:val="center"/>
                    <w:rPr>
                      <w:rFonts w:ascii="宋体" w:hAnsi="宋体" w:eastAsia="宋体" w:cs="宋体"/>
                      <w:szCs w:val="21"/>
                    </w:rPr>
                  </w:pPr>
                  <w:r>
                    <w:rPr>
                      <w:rFonts w:hint="eastAsia" w:ascii="宋体" w:hAnsi="宋体" w:eastAsia="宋体" w:cs="宋体"/>
                      <w:szCs w:val="21"/>
                    </w:rPr>
                    <w:t>个</w:t>
                  </w:r>
                </w:p>
              </w:tc>
              <w:tc>
                <w:tcPr>
                  <w:tcW w:w="1269" w:type="dxa"/>
                  <w:vAlign w:val="center"/>
                </w:tcPr>
                <w:p w14:paraId="781D573E">
                  <w:pPr>
                    <w:jc w:val="center"/>
                    <w:rPr>
                      <w:rFonts w:ascii="宋体" w:hAnsi="宋体" w:eastAsia="宋体" w:cs="宋体"/>
                      <w:szCs w:val="21"/>
                    </w:rPr>
                  </w:pPr>
                  <w:r>
                    <w:rPr>
                      <w:rFonts w:hint="eastAsia" w:ascii="宋体" w:hAnsi="宋体" w:eastAsia="宋体" w:cs="宋体"/>
                      <w:szCs w:val="21"/>
                    </w:rPr>
                    <w:t>5</w:t>
                  </w:r>
                </w:p>
              </w:tc>
            </w:tr>
            <w:tr w14:paraId="69D7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320AF259">
                  <w:pPr>
                    <w:jc w:val="center"/>
                    <w:rPr>
                      <w:rFonts w:ascii="宋体" w:hAnsi="宋体" w:eastAsia="宋体" w:cs="宋体"/>
                      <w:szCs w:val="21"/>
                    </w:rPr>
                  </w:pPr>
                  <w:r>
                    <w:rPr>
                      <w:rFonts w:hint="eastAsia" w:ascii="宋体" w:hAnsi="宋体" w:eastAsia="宋体" w:cs="宋体"/>
                      <w:szCs w:val="21"/>
                    </w:rPr>
                    <w:t>4</w:t>
                  </w:r>
                </w:p>
              </w:tc>
              <w:tc>
                <w:tcPr>
                  <w:tcW w:w="2538" w:type="dxa"/>
                  <w:vAlign w:val="center"/>
                </w:tcPr>
                <w:p w14:paraId="6900105A">
                  <w:pPr>
                    <w:jc w:val="center"/>
                    <w:rPr>
                      <w:rFonts w:ascii="宋体" w:hAnsi="宋体" w:eastAsia="宋体" w:cs="宋体"/>
                      <w:szCs w:val="21"/>
                    </w:rPr>
                  </w:pPr>
                  <w:r>
                    <w:rPr>
                      <w:rFonts w:hint="eastAsia" w:ascii="宋体" w:hAnsi="宋体" w:eastAsia="宋体" w:cs="宋体"/>
                      <w:szCs w:val="21"/>
                    </w:rPr>
                    <w:t>镀金反射板</w:t>
                  </w:r>
                </w:p>
              </w:tc>
              <w:tc>
                <w:tcPr>
                  <w:tcW w:w="1225" w:type="dxa"/>
                  <w:vAlign w:val="center"/>
                </w:tcPr>
                <w:p w14:paraId="42804C99">
                  <w:pPr>
                    <w:jc w:val="center"/>
                    <w:rPr>
                      <w:rFonts w:ascii="宋体" w:hAnsi="宋体" w:eastAsia="宋体" w:cs="宋体"/>
                      <w:szCs w:val="21"/>
                    </w:rPr>
                  </w:pPr>
                  <w:r>
                    <w:rPr>
                      <w:rFonts w:hint="eastAsia" w:ascii="宋体" w:hAnsi="宋体" w:eastAsia="宋体" w:cs="宋体"/>
                      <w:szCs w:val="21"/>
                    </w:rPr>
                    <w:t>个</w:t>
                  </w:r>
                </w:p>
              </w:tc>
              <w:tc>
                <w:tcPr>
                  <w:tcW w:w="1269" w:type="dxa"/>
                  <w:vAlign w:val="center"/>
                </w:tcPr>
                <w:p w14:paraId="4F0765BE">
                  <w:pPr>
                    <w:jc w:val="center"/>
                    <w:rPr>
                      <w:rFonts w:ascii="宋体" w:hAnsi="宋体" w:eastAsia="宋体" w:cs="宋体"/>
                      <w:szCs w:val="21"/>
                    </w:rPr>
                  </w:pPr>
                  <w:r>
                    <w:rPr>
                      <w:rFonts w:hint="eastAsia" w:ascii="宋体" w:hAnsi="宋体" w:eastAsia="宋体" w:cs="宋体"/>
                      <w:szCs w:val="21"/>
                    </w:rPr>
                    <w:t>1</w:t>
                  </w:r>
                </w:p>
              </w:tc>
            </w:tr>
            <w:tr w14:paraId="7139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7B232B47">
                  <w:pPr>
                    <w:jc w:val="center"/>
                    <w:rPr>
                      <w:rFonts w:ascii="宋体" w:hAnsi="宋体" w:eastAsia="宋体" w:cs="宋体"/>
                      <w:szCs w:val="21"/>
                    </w:rPr>
                  </w:pPr>
                  <w:r>
                    <w:rPr>
                      <w:rFonts w:hint="eastAsia" w:ascii="宋体" w:hAnsi="宋体" w:eastAsia="宋体" w:cs="宋体"/>
                      <w:szCs w:val="21"/>
                    </w:rPr>
                    <w:t>5</w:t>
                  </w:r>
                </w:p>
              </w:tc>
              <w:tc>
                <w:tcPr>
                  <w:tcW w:w="2538" w:type="dxa"/>
                  <w:vAlign w:val="center"/>
                </w:tcPr>
                <w:p w14:paraId="0F404300">
                  <w:pPr>
                    <w:jc w:val="center"/>
                    <w:rPr>
                      <w:rFonts w:ascii="宋体" w:hAnsi="宋体" w:eastAsia="宋体" w:cs="宋体"/>
                      <w:szCs w:val="21"/>
                    </w:rPr>
                  </w:pPr>
                  <w:r>
                    <w:rPr>
                      <w:rFonts w:hint="eastAsia" w:ascii="宋体" w:hAnsi="宋体" w:eastAsia="宋体" w:cs="宋体"/>
                      <w:szCs w:val="21"/>
                    </w:rPr>
                    <w:t>光源灯</w:t>
                  </w:r>
                </w:p>
              </w:tc>
              <w:tc>
                <w:tcPr>
                  <w:tcW w:w="1225" w:type="dxa"/>
                  <w:vAlign w:val="center"/>
                </w:tcPr>
                <w:p w14:paraId="2F570263">
                  <w:pPr>
                    <w:jc w:val="center"/>
                    <w:rPr>
                      <w:rFonts w:ascii="宋体" w:hAnsi="宋体" w:eastAsia="宋体" w:cs="宋体"/>
                      <w:szCs w:val="21"/>
                    </w:rPr>
                  </w:pPr>
                  <w:r>
                    <w:rPr>
                      <w:rFonts w:hint="eastAsia" w:ascii="宋体" w:hAnsi="宋体" w:eastAsia="宋体" w:cs="宋体"/>
                      <w:szCs w:val="21"/>
                    </w:rPr>
                    <w:t>个</w:t>
                  </w:r>
                </w:p>
              </w:tc>
              <w:tc>
                <w:tcPr>
                  <w:tcW w:w="1269" w:type="dxa"/>
                  <w:vAlign w:val="center"/>
                </w:tcPr>
                <w:p w14:paraId="380349F6">
                  <w:pPr>
                    <w:jc w:val="center"/>
                    <w:rPr>
                      <w:rFonts w:ascii="宋体" w:hAnsi="宋体" w:eastAsia="宋体" w:cs="宋体"/>
                      <w:szCs w:val="21"/>
                    </w:rPr>
                  </w:pPr>
                  <w:r>
                    <w:rPr>
                      <w:rFonts w:hint="eastAsia" w:ascii="宋体" w:hAnsi="宋体" w:eastAsia="宋体" w:cs="宋体"/>
                      <w:szCs w:val="21"/>
                    </w:rPr>
                    <w:t>2</w:t>
                  </w:r>
                </w:p>
              </w:tc>
            </w:tr>
            <w:tr w14:paraId="34B8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396BEA16">
                  <w:pPr>
                    <w:jc w:val="center"/>
                    <w:rPr>
                      <w:rFonts w:ascii="宋体" w:hAnsi="宋体" w:eastAsia="宋体" w:cs="宋体"/>
                      <w:szCs w:val="21"/>
                    </w:rPr>
                  </w:pPr>
                  <w:r>
                    <w:rPr>
                      <w:rFonts w:hint="eastAsia" w:ascii="宋体" w:hAnsi="宋体" w:eastAsia="宋体" w:cs="宋体"/>
                      <w:szCs w:val="21"/>
                    </w:rPr>
                    <w:t>6</w:t>
                  </w:r>
                </w:p>
              </w:tc>
              <w:tc>
                <w:tcPr>
                  <w:tcW w:w="2538" w:type="dxa"/>
                  <w:vAlign w:val="center"/>
                </w:tcPr>
                <w:p w14:paraId="7C001672">
                  <w:pPr>
                    <w:jc w:val="center"/>
                    <w:rPr>
                      <w:rFonts w:ascii="宋体" w:hAnsi="宋体" w:eastAsia="宋体" w:cs="宋体"/>
                      <w:szCs w:val="21"/>
                    </w:rPr>
                  </w:pPr>
                  <w:r>
                    <w:rPr>
                      <w:rFonts w:hint="eastAsia" w:ascii="宋体" w:hAnsi="宋体" w:eastAsia="宋体" w:cs="宋体"/>
                      <w:szCs w:val="21"/>
                    </w:rPr>
                    <w:t>移动工作站</w:t>
                  </w:r>
                </w:p>
              </w:tc>
              <w:tc>
                <w:tcPr>
                  <w:tcW w:w="1225" w:type="dxa"/>
                  <w:vAlign w:val="center"/>
                </w:tcPr>
                <w:p w14:paraId="2A6A060E">
                  <w:pPr>
                    <w:jc w:val="center"/>
                    <w:rPr>
                      <w:rFonts w:ascii="宋体" w:hAnsi="宋体" w:eastAsia="宋体" w:cs="宋体"/>
                      <w:szCs w:val="21"/>
                    </w:rPr>
                  </w:pPr>
                  <w:r>
                    <w:rPr>
                      <w:rFonts w:hint="eastAsia" w:ascii="宋体" w:hAnsi="宋体" w:eastAsia="宋体" w:cs="宋体"/>
                      <w:szCs w:val="21"/>
                    </w:rPr>
                    <w:t>台</w:t>
                  </w:r>
                </w:p>
              </w:tc>
              <w:tc>
                <w:tcPr>
                  <w:tcW w:w="1269" w:type="dxa"/>
                  <w:vAlign w:val="center"/>
                </w:tcPr>
                <w:p w14:paraId="40771DA1">
                  <w:pPr>
                    <w:jc w:val="center"/>
                    <w:rPr>
                      <w:rFonts w:ascii="宋体" w:hAnsi="宋体" w:eastAsia="宋体" w:cs="宋体"/>
                      <w:szCs w:val="21"/>
                    </w:rPr>
                  </w:pPr>
                  <w:r>
                    <w:rPr>
                      <w:rFonts w:hint="eastAsia" w:ascii="宋体" w:hAnsi="宋体" w:eastAsia="宋体" w:cs="宋体"/>
                      <w:szCs w:val="21"/>
                    </w:rPr>
                    <w:t>1</w:t>
                  </w:r>
                </w:p>
              </w:tc>
            </w:tr>
            <w:tr w14:paraId="1CA8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Align w:val="center"/>
                </w:tcPr>
                <w:p w14:paraId="11C5C899">
                  <w:pPr>
                    <w:jc w:val="center"/>
                    <w:rPr>
                      <w:rFonts w:ascii="宋体" w:hAnsi="宋体" w:eastAsia="宋体" w:cs="宋体"/>
                      <w:szCs w:val="21"/>
                    </w:rPr>
                  </w:pPr>
                  <w:r>
                    <w:rPr>
                      <w:rFonts w:hint="eastAsia" w:ascii="宋体" w:hAnsi="宋体" w:eastAsia="宋体" w:cs="宋体"/>
                      <w:szCs w:val="21"/>
                    </w:rPr>
                    <w:t>7</w:t>
                  </w:r>
                </w:p>
              </w:tc>
              <w:tc>
                <w:tcPr>
                  <w:tcW w:w="2538" w:type="dxa"/>
                  <w:vAlign w:val="center"/>
                </w:tcPr>
                <w:p w14:paraId="6BAD4B3A">
                  <w:pPr>
                    <w:jc w:val="center"/>
                    <w:rPr>
                      <w:rFonts w:ascii="宋体" w:hAnsi="宋体" w:eastAsia="宋体" w:cs="宋体"/>
                      <w:szCs w:val="21"/>
                    </w:rPr>
                  </w:pPr>
                  <w:r>
                    <w:rPr>
                      <w:rFonts w:hint="eastAsia" w:ascii="宋体" w:hAnsi="宋体" w:eastAsia="宋体" w:cs="宋体"/>
                      <w:szCs w:val="21"/>
                    </w:rPr>
                    <w:t>运输箱</w:t>
                  </w:r>
                </w:p>
              </w:tc>
              <w:tc>
                <w:tcPr>
                  <w:tcW w:w="1225" w:type="dxa"/>
                  <w:vAlign w:val="center"/>
                </w:tcPr>
                <w:p w14:paraId="722BF25E">
                  <w:pPr>
                    <w:jc w:val="center"/>
                    <w:rPr>
                      <w:rFonts w:ascii="宋体" w:hAnsi="宋体" w:eastAsia="宋体" w:cs="宋体"/>
                      <w:szCs w:val="21"/>
                    </w:rPr>
                  </w:pPr>
                  <w:r>
                    <w:rPr>
                      <w:rFonts w:hint="eastAsia" w:ascii="宋体" w:hAnsi="宋体" w:eastAsia="宋体" w:cs="宋体"/>
                      <w:szCs w:val="21"/>
                    </w:rPr>
                    <w:t>个</w:t>
                  </w:r>
                </w:p>
              </w:tc>
              <w:tc>
                <w:tcPr>
                  <w:tcW w:w="1269" w:type="dxa"/>
                  <w:vAlign w:val="center"/>
                </w:tcPr>
                <w:p w14:paraId="1AFDFB8F">
                  <w:pPr>
                    <w:jc w:val="center"/>
                    <w:rPr>
                      <w:rFonts w:ascii="宋体" w:hAnsi="宋体" w:eastAsia="宋体" w:cs="宋体"/>
                      <w:szCs w:val="21"/>
                    </w:rPr>
                  </w:pPr>
                  <w:r>
                    <w:rPr>
                      <w:rFonts w:hint="eastAsia" w:ascii="宋体" w:hAnsi="宋体" w:eastAsia="宋体" w:cs="宋体"/>
                      <w:szCs w:val="21"/>
                    </w:rPr>
                    <w:t>1</w:t>
                  </w:r>
                </w:p>
              </w:tc>
            </w:tr>
          </w:tbl>
          <w:p w14:paraId="3DB67BC8">
            <w:pPr>
              <w:jc w:val="left"/>
              <w:rPr>
                <w:rFonts w:asciiTheme="minorEastAsia" w:hAnsiTheme="minorEastAsia"/>
              </w:rPr>
            </w:pPr>
          </w:p>
        </w:tc>
      </w:tr>
    </w:tbl>
    <w:p w14:paraId="56FCFDD3">
      <w:pPr>
        <w:rPr>
          <w:rFonts w:hint="eastAsia" w:asciiTheme="minorEastAsia" w:hAnsiTheme="minorEastAsia"/>
        </w:rPr>
      </w:pPr>
      <w:r>
        <w:rPr>
          <w:rFonts w:hint="eastAsia" w:asciiTheme="minorEastAsia" w:hAnsiTheme="minorEastAsia"/>
        </w:rPr>
        <w:br w:type="page"/>
      </w:r>
    </w:p>
    <w:p w14:paraId="0BD07707">
      <w:pPr>
        <w:outlineLvl w:val="1"/>
        <w:rPr>
          <w:rFonts w:asciiTheme="minorEastAsia" w:hAnsiTheme="minorEastAsia"/>
          <w:u w:val="single"/>
        </w:rPr>
      </w:pPr>
      <w:r>
        <w:rPr>
          <w:rFonts w:hint="eastAsia" w:asciiTheme="minorEastAsia" w:hAnsiTheme="minorEastAsia"/>
        </w:rPr>
        <w:t>附表三：</w:t>
      </w:r>
      <w:r>
        <w:rPr>
          <w:rFonts w:hint="eastAsia"/>
          <w:b/>
          <w:bCs/>
          <w:szCs w:val="21"/>
        </w:rPr>
        <w:t>质构仪</w:t>
      </w:r>
      <w:r>
        <w:rPr>
          <w:rFonts w:hint="eastAsia" w:asciiTheme="minorEastAsia" w:hAnsiTheme="minorEastAsia"/>
        </w:rPr>
        <w:t xml:space="preserve">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721"/>
        <w:gridCol w:w="6820"/>
      </w:tblGrid>
      <w:tr w14:paraId="1F6F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7" w:type="dxa"/>
          </w:tcPr>
          <w:p w14:paraId="4B018BA3">
            <w:pPr>
              <w:jc w:val="center"/>
              <w:rPr>
                <w:rFonts w:asciiTheme="minorEastAsia" w:hAnsiTheme="minorEastAsia"/>
                <w:b/>
              </w:rPr>
            </w:pPr>
            <w:r>
              <w:rPr>
                <w:rFonts w:hint="eastAsia" w:asciiTheme="minorEastAsia" w:hAnsiTheme="minorEastAsia"/>
                <w:b/>
              </w:rPr>
              <w:t>参数性质</w:t>
            </w:r>
          </w:p>
        </w:tc>
        <w:tc>
          <w:tcPr>
            <w:tcW w:w="721" w:type="dxa"/>
          </w:tcPr>
          <w:p w14:paraId="5546C3CB">
            <w:pPr>
              <w:jc w:val="center"/>
              <w:rPr>
                <w:rFonts w:asciiTheme="minorEastAsia" w:hAnsiTheme="minorEastAsia"/>
                <w:b/>
              </w:rPr>
            </w:pPr>
            <w:r>
              <w:rPr>
                <w:rFonts w:hint="eastAsia" w:asciiTheme="minorEastAsia" w:hAnsiTheme="minorEastAsia"/>
                <w:b/>
              </w:rPr>
              <w:t>编号</w:t>
            </w:r>
          </w:p>
        </w:tc>
        <w:tc>
          <w:tcPr>
            <w:tcW w:w="6820" w:type="dxa"/>
          </w:tcPr>
          <w:p w14:paraId="20944580">
            <w:pPr>
              <w:jc w:val="center"/>
              <w:rPr>
                <w:rFonts w:asciiTheme="minorEastAsia" w:hAnsiTheme="minorEastAsia"/>
                <w:b/>
              </w:rPr>
            </w:pPr>
            <w:r>
              <w:rPr>
                <w:rFonts w:hint="eastAsia" w:asciiTheme="minorEastAsia" w:hAnsiTheme="minorEastAsia"/>
                <w:b/>
              </w:rPr>
              <w:t>具体技术(参数)要求</w:t>
            </w:r>
          </w:p>
        </w:tc>
      </w:tr>
      <w:tr w14:paraId="419B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5917DACB">
            <w:pPr>
              <w:jc w:val="center"/>
              <w:rPr>
                <w:rFonts w:asciiTheme="minorEastAsia" w:hAnsiTheme="minorEastAsia"/>
                <w:szCs w:val="21"/>
              </w:rPr>
            </w:pPr>
          </w:p>
        </w:tc>
        <w:tc>
          <w:tcPr>
            <w:tcW w:w="721" w:type="dxa"/>
          </w:tcPr>
          <w:p w14:paraId="25457EDF">
            <w:pPr>
              <w:tabs>
                <w:tab w:val="left" w:pos="0"/>
              </w:tabs>
              <w:ind w:left="420" w:hanging="420"/>
              <w:jc w:val="center"/>
              <w:rPr>
                <w:rFonts w:asciiTheme="minorEastAsia" w:hAnsiTheme="minorEastAsia"/>
                <w:szCs w:val="21"/>
              </w:rPr>
            </w:pPr>
          </w:p>
        </w:tc>
        <w:tc>
          <w:tcPr>
            <w:tcW w:w="6820" w:type="dxa"/>
          </w:tcPr>
          <w:p w14:paraId="68DEC3EC">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一、用途</w:t>
            </w:r>
          </w:p>
          <w:p w14:paraId="5DAECD94">
            <w:pPr>
              <w:spacing w:line="360" w:lineRule="auto"/>
              <w:ind w:firstLine="420" w:firstLineChars="200"/>
              <w:rPr>
                <w:rFonts w:cs="仿宋" w:asciiTheme="minorEastAsia" w:hAnsiTheme="minorEastAsia"/>
                <w:szCs w:val="21"/>
                <w:lang w:bidi="ar"/>
              </w:rPr>
            </w:pPr>
            <w:r>
              <w:rPr>
                <w:rFonts w:cs="仿宋" w:asciiTheme="minorEastAsia" w:hAnsiTheme="minorEastAsia"/>
                <w:szCs w:val="21"/>
                <w:lang w:bidi="ar"/>
              </w:rPr>
              <w:t>主要用于肉制品物性指标检测、品质数据采集分析、加工工艺优化及智能化品质研究，为肉制品品质评价、工艺改良、产品研发及质量标准化管控提供精准检测与数据支撑。</w:t>
            </w:r>
          </w:p>
          <w:p w14:paraId="24C5126B">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二、技术参数</w:t>
            </w:r>
          </w:p>
          <w:p w14:paraId="572BBAF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1、硬件参数：</w:t>
            </w:r>
          </w:p>
          <w:p w14:paraId="77E1F2DC">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1.1传感器量程：≥20kg；</w:t>
            </w:r>
          </w:p>
          <w:p w14:paraId="6BF84E75">
            <w:pPr>
              <w:spacing w:line="360" w:lineRule="auto"/>
              <w:ind w:firstLine="420" w:firstLineChars="200"/>
              <w:rPr>
                <w:rFonts w:hint="eastAsia" w:cs="仿宋" w:asciiTheme="minorEastAsia" w:hAnsiTheme="minorEastAsia" w:eastAsiaTheme="minorEastAsia"/>
                <w:szCs w:val="21"/>
                <w:lang w:val="en-US" w:eastAsia="zh-CN" w:bidi="ar"/>
              </w:rPr>
            </w:pPr>
            <w:r>
              <w:rPr>
                <w:rFonts w:hint="eastAsia" w:cs="仿宋" w:asciiTheme="minorEastAsia" w:hAnsiTheme="minorEastAsia"/>
                <w:szCs w:val="21"/>
                <w:lang w:bidi="ar"/>
              </w:rPr>
              <w:t>1.2</w:t>
            </w:r>
            <w:r>
              <w:rPr>
                <w:rFonts w:hint="eastAsia" w:cs="仿宋" w:asciiTheme="minorEastAsia" w:hAnsiTheme="minorEastAsia"/>
                <w:szCs w:val="21"/>
                <w:lang w:val="en-US" w:eastAsia="zh-CN" w:bidi="ar"/>
              </w:rPr>
              <w:t>力量</w:t>
            </w:r>
            <w:r>
              <w:rPr>
                <w:rFonts w:hint="eastAsia" w:cs="仿宋" w:asciiTheme="minorEastAsia" w:hAnsiTheme="minorEastAsia"/>
                <w:szCs w:val="21"/>
                <w:lang w:bidi="ar"/>
              </w:rPr>
              <w:t>感应元精度不低于0.005%；</w:t>
            </w:r>
            <w:r>
              <w:rPr>
                <w:rFonts w:hint="eastAsia" w:cs="仿宋" w:asciiTheme="minorEastAsia" w:hAnsiTheme="minorEastAsia"/>
                <w:szCs w:val="21"/>
                <w:lang w:val="en-US" w:eastAsia="zh-CN" w:bidi="ar"/>
              </w:rPr>
              <w:t xml:space="preserve"> </w:t>
            </w:r>
          </w:p>
          <w:p w14:paraId="00FBCF4B">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1.3位移精度: ≤0.001mm；</w:t>
            </w:r>
          </w:p>
          <w:p w14:paraId="48E9B2F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1.4升降臂移动速度：至少涵盖0.001～45mm/sec，软件操控移动，可将升降臂移动全距至少涵盖0.01～400 mm内任意位置设定为默认移动位置，默认位置可以根据需要自主设定；</w:t>
            </w:r>
          </w:p>
          <w:p w14:paraId="7140D58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1.5力量感应元校准可使用具备计量溯源性及符合国家计量检定规程/校准规范的标准砝码进行验证与校准；</w:t>
            </w:r>
          </w:p>
          <w:p w14:paraId="1E9D65A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1.6力量感应元保护：四重保护装置，带有感应元机械限位保护装置；</w:t>
            </w:r>
          </w:p>
          <w:p w14:paraId="7943BAC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▲1.7仪器硬件功能：双通道操作系统，可外联电脑，主机带有软件盘，包含力臂移动调速操作键≥4个，带有设备通电指示灯，带有实验进展指示灯，支持脱离软件进行实验控制；</w:t>
            </w:r>
          </w:p>
          <w:p w14:paraId="17AC11E5">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1.8 软件数据采集率：可调至少涵盖20～2000组/秒，每组4个通道同时读取；</w:t>
            </w:r>
          </w:p>
          <w:p w14:paraId="35C138A4">
            <w:pPr>
              <w:spacing w:line="360" w:lineRule="auto"/>
              <w:ind w:firstLine="420" w:firstLineChars="200"/>
              <w:rPr>
                <w:rFonts w:hint="eastAsia" w:cs="仿宋" w:asciiTheme="minorEastAsia" w:hAnsiTheme="minorEastAsia" w:eastAsiaTheme="minorEastAsia"/>
                <w:szCs w:val="21"/>
                <w:lang w:eastAsia="zh-CN" w:bidi="ar"/>
              </w:rPr>
            </w:pPr>
            <w:r>
              <w:rPr>
                <w:rFonts w:hint="eastAsia" w:cs="仿宋" w:asciiTheme="minorEastAsia" w:hAnsiTheme="minorEastAsia"/>
                <w:szCs w:val="21"/>
                <w:lang w:val="en-US" w:eastAsia="zh-CN" w:bidi="ar"/>
              </w:rPr>
              <w:t xml:space="preserve">1.9 </w:t>
            </w:r>
            <w:r>
              <w:rPr>
                <w:rFonts w:ascii="宋体" w:hAnsi="宋体" w:eastAsia="宋体" w:cs="宋体"/>
                <w:sz w:val="21"/>
                <w:szCs w:val="21"/>
              </w:rPr>
              <w:t>设备应满足按照</w:t>
            </w:r>
            <w:r>
              <w:rPr>
                <w:rFonts w:hint="eastAsia" w:cs="仿宋" w:asciiTheme="minorEastAsia" w:hAnsiTheme="minorEastAsia"/>
                <w:szCs w:val="21"/>
                <w:lang w:val="en-US" w:eastAsia="zh-CN" w:bidi="ar"/>
              </w:rPr>
              <w:t>NY/T1180-2006《肉嫩度的测定 剪切力测定法》</w:t>
            </w:r>
            <w:r>
              <w:rPr>
                <w:rFonts w:ascii="宋体" w:hAnsi="宋体" w:eastAsia="宋体" w:cs="宋体"/>
                <w:sz w:val="21"/>
                <w:szCs w:val="21"/>
              </w:rPr>
              <w:t>开展肉嫩度剪切力测定的全部试验条件要求</w:t>
            </w:r>
            <w:r>
              <w:rPr>
                <w:rFonts w:hint="eastAsia"/>
                <w:lang w:eastAsia="zh-CN"/>
              </w:rPr>
              <w:t>。</w:t>
            </w:r>
          </w:p>
          <w:p w14:paraId="2CAB04E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2、软件参数：</w:t>
            </w:r>
          </w:p>
          <w:p w14:paraId="00FBFFA4">
            <w:pPr>
              <w:spacing w:line="360" w:lineRule="auto"/>
              <w:ind w:firstLine="210" w:firstLineChars="100"/>
              <w:rPr>
                <w:rFonts w:cs="仿宋" w:asciiTheme="minorEastAsia" w:hAnsiTheme="minorEastAsia"/>
                <w:szCs w:val="21"/>
                <w:highlight w:val="none"/>
                <w:lang w:bidi="ar"/>
              </w:rPr>
            </w:pPr>
            <w:r>
              <w:rPr>
                <w:rFonts w:hint="eastAsia" w:cs="仿宋" w:asciiTheme="minorEastAsia" w:hAnsiTheme="minorEastAsia"/>
                <w:szCs w:val="21"/>
                <w:lang w:bidi="ar"/>
              </w:rPr>
              <w:t>▲2.1软件自带数据算法：如主成分分析（PCA）</w:t>
            </w:r>
            <w:r>
              <w:rPr>
                <w:rFonts w:hint="eastAsia" w:cs="仿宋" w:asciiTheme="minorEastAsia" w:hAnsiTheme="minorEastAsia"/>
                <w:szCs w:val="21"/>
                <w:highlight w:val="none"/>
                <w:lang w:bidi="ar"/>
              </w:rPr>
              <w:t>、LDA、LLE、LE、PLSR、SVM、BP神经网络、KNN、TSNE、ISOMAP等，可进行降维分析、分类分析等大数据分类方式</w:t>
            </w:r>
            <w:r>
              <w:rPr>
                <w:rFonts w:hint="eastAsia" w:cs="仿宋" w:asciiTheme="minorEastAsia" w:hAnsiTheme="minorEastAsia"/>
                <w:szCs w:val="21"/>
                <w:highlight w:val="none"/>
                <w:lang w:eastAsia="zh-CN" w:bidi="ar"/>
              </w:rPr>
              <w:t>，</w:t>
            </w:r>
            <w:r>
              <w:rPr>
                <w:rFonts w:hint="eastAsia" w:cs="仿宋" w:asciiTheme="minorEastAsia" w:hAnsiTheme="minorEastAsia"/>
                <w:szCs w:val="21"/>
                <w:highlight w:val="none"/>
                <w:lang w:val="en-US" w:eastAsia="zh-CN" w:bidi="ar"/>
              </w:rPr>
              <w:t>投标人需在招标文件中以</w:t>
            </w:r>
            <w:r>
              <w:rPr>
                <w:rFonts w:hint="eastAsia"/>
                <w:highlight w:val="none"/>
                <w:lang w:val="en-US" w:eastAsia="zh-CN"/>
              </w:rPr>
              <w:t>软件数据算法图片</w:t>
            </w:r>
            <w:r>
              <w:rPr>
                <w:rFonts w:hint="eastAsia" w:cs="仿宋" w:asciiTheme="minorEastAsia" w:hAnsiTheme="minorEastAsia"/>
                <w:szCs w:val="21"/>
                <w:highlight w:val="none"/>
                <w:lang w:val="en-US" w:eastAsia="zh-CN" w:bidi="ar"/>
              </w:rPr>
              <w:t>方式证明具备此功能，</w:t>
            </w:r>
            <w:r>
              <w:rPr>
                <w:rFonts w:hint="eastAsia" w:cs="仿宋" w:asciiTheme="minorEastAsia" w:hAnsiTheme="minorEastAsia"/>
                <w:szCs w:val="21"/>
                <w:highlight w:val="none"/>
                <w:lang w:bidi="ar"/>
              </w:rPr>
              <w:t>并用醒目的方式进行标记；</w:t>
            </w:r>
          </w:p>
          <w:p w14:paraId="21A679AF">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highlight w:val="none"/>
                <w:lang w:bidi="ar"/>
              </w:rPr>
              <w:t>▲2.2测试方法：设置界面同时显示实验类型（直显不少于5种测试模式），同时测试类型、目标模式、目标数值、间隔时间、</w:t>
            </w:r>
            <w:r>
              <w:rPr>
                <w:rFonts w:hint="eastAsia" w:cs="仿宋" w:asciiTheme="minorEastAsia" w:hAnsiTheme="minorEastAsia"/>
                <w:szCs w:val="21"/>
                <w:lang w:bidi="ar"/>
              </w:rPr>
              <w:t xml:space="preserve">测试速度、触发点类型、数值、样品接触面积、探头接触面积，加载另存显示在同一界面，同步进行；软件系统图片处理功能完整，内嵌视频和图片捕捉功能，可以生成图片，可将样品的试验过程进行全程录像，可控制实验播放进程； </w:t>
            </w:r>
          </w:p>
          <w:p w14:paraId="6BB9E2DC">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2.3测试显示: 软件曲线和测试结果同时显示在一个界面上，也可分开显示。测试数据如力，时间，位移在测试程中同步显示到软件；</w:t>
            </w:r>
          </w:p>
          <w:p w14:paraId="0EFCE7C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2.4数据分析：软件页面中英文可调，数据分析时不需另外撰写分析程序，可直接勾选所要的指标，软件自动计算结果，结果数据曲线可导出为EXCEL文档及图片；</w:t>
            </w:r>
          </w:p>
          <w:p w14:paraId="0807D653">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2.5教学功能：软件内直接调用自带不少于十种动画视频（至少含TPA非粘性测试、TPA粘性样品测试、半固体反挤压、表面粘性测试、剪切测试、拉伸测试、凝胶、下压保持力不变测试、三点折断测试、压缩测试、粘性测试、正向挤压测试、下压保持距离不变测试等视频）</w:t>
            </w:r>
            <w:r>
              <w:rPr>
                <w:rFonts w:hint="eastAsia" w:cs="仿宋" w:asciiTheme="minorEastAsia" w:hAnsiTheme="minorEastAsia"/>
                <w:szCs w:val="21"/>
                <w:lang w:eastAsia="zh-CN" w:bidi="ar"/>
              </w:rPr>
              <w:t>，</w:t>
            </w:r>
            <w:r>
              <w:rPr>
                <w:rFonts w:hint="eastAsia" w:cs="仿宋" w:asciiTheme="minorEastAsia" w:hAnsiTheme="minorEastAsia"/>
                <w:szCs w:val="21"/>
                <w:lang w:val="en-US" w:eastAsia="zh-CN" w:bidi="ar"/>
              </w:rPr>
              <w:t>投标方需在招标文件中以截图方式证明具备此功能,</w:t>
            </w:r>
            <w:r>
              <w:rPr>
                <w:rFonts w:hint="eastAsia" w:cs="仿宋" w:asciiTheme="minorEastAsia" w:hAnsiTheme="minorEastAsia"/>
                <w:szCs w:val="21"/>
                <w:lang w:bidi="ar"/>
              </w:rPr>
              <w:t>并用醒目的方式进行标记；</w:t>
            </w:r>
          </w:p>
          <w:p w14:paraId="04285615">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2.6技术支持：自带不少于300种测试方法库，方法包括具体测试的样品名称，样品测试前准备方法，测试参数设置，实验曲线图，测试后如何分析结果；</w:t>
            </w:r>
          </w:p>
          <w:p w14:paraId="4745BF51">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2.7实验报告：软件自带实验报告，包含实验信息、实验参数、实验图谱、实验结果，实验报告一键导出功能；</w:t>
            </w:r>
          </w:p>
          <w:p w14:paraId="20FC906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2.8数据库：软件内带物性、流变、热力学、电学等知识库，软件内随时检索物性相关知识解析；带有国标算法，软件可直接调用；软件内置有不少于50种应用实验报告；软件内置的实验报告内容包括具体测试的样品名称，样品测试前准备方法，测试参数设置，实验曲线图，测试后如何分析结果；其中实验报告测试的方法软件可以直接读取使用，无需在进行方法设置；</w:t>
            </w:r>
            <w:r>
              <w:rPr>
                <w:rFonts w:hint="eastAsia"/>
                <w:lang w:val="en-US" w:eastAsia="zh-CN"/>
              </w:rPr>
              <w:t>提供近5年内应用此设备发表的5篇软件内随时查询的论文目录截图作为佐证</w:t>
            </w:r>
            <w:r>
              <w:rPr>
                <w:rFonts w:hint="eastAsia" w:cs="仿宋" w:asciiTheme="minorEastAsia" w:hAnsiTheme="minorEastAsia"/>
                <w:szCs w:val="21"/>
                <w:lang w:val="en-US" w:eastAsia="zh-CN" w:bidi="ar"/>
              </w:rPr>
              <w:t>。</w:t>
            </w:r>
          </w:p>
          <w:p w14:paraId="39774465">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2.9质构仪仿真功能：可模拟质构仪仿真操作，从安装过程到实验数据采集，分析结果，其中包括五个探头，六种样品，可进行分别检测收集数据；其中内置有三种真实参考视频，质构仪校准，芦苇剪切，面包全质构。应有质构仪仪器介绍，使用规范，操作和使用说明，全质构名词解释，样例分析，TPA等；（需</w:t>
            </w:r>
            <w:r>
              <w:rPr>
                <w:rFonts w:hint="eastAsia" w:cs="仿宋" w:asciiTheme="minorEastAsia" w:hAnsiTheme="minorEastAsia"/>
                <w:szCs w:val="21"/>
                <w:lang w:val="en-US" w:eastAsia="zh-CN" w:bidi="ar"/>
              </w:rPr>
              <w:t>提供</w:t>
            </w:r>
            <w:r>
              <w:rPr>
                <w:rFonts w:hint="eastAsia" w:cs="仿宋" w:asciiTheme="minorEastAsia" w:hAnsiTheme="minorEastAsia"/>
                <w:szCs w:val="21"/>
                <w:lang w:eastAsia="zh-CN" w:bidi="ar"/>
              </w:rPr>
              <w:t>“</w:t>
            </w:r>
            <w:r>
              <w:rPr>
                <w:rFonts w:hint="eastAsia"/>
              </w:rPr>
              <w:t>产品彩页或相应技术参数的厂家技术白皮书或使用说明书或第三方机构出具的检测报告作为技术证明文件，并用醒目的方式进行标记</w:t>
            </w:r>
            <w:r>
              <w:rPr>
                <w:rFonts w:hint="eastAsia" w:cs="仿宋" w:asciiTheme="minorEastAsia" w:hAnsiTheme="minorEastAsia"/>
                <w:szCs w:val="21"/>
                <w:lang w:eastAsia="zh-CN" w:bidi="ar"/>
              </w:rPr>
              <w:t>”</w:t>
            </w:r>
            <w:r>
              <w:rPr>
                <w:rFonts w:hint="eastAsia" w:cs="仿宋" w:asciiTheme="minorEastAsia" w:hAnsiTheme="minorEastAsia"/>
                <w:szCs w:val="21"/>
                <w:lang w:bidi="ar"/>
              </w:rPr>
              <w:t>）</w:t>
            </w:r>
          </w:p>
          <w:p w14:paraId="64113C33">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2.10数据采集器：内存不少于8G；内置存储硬盘容量≥512GB。</w:t>
            </w:r>
          </w:p>
          <w:p w14:paraId="4A10341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三、配置清单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3866"/>
              <w:gridCol w:w="887"/>
              <w:gridCol w:w="887"/>
            </w:tblGrid>
            <w:tr w14:paraId="2615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5BBBBC7D">
                  <w:pPr>
                    <w:jc w:val="center"/>
                    <w:rPr>
                      <w:rFonts w:ascii="宋体" w:hAnsi="宋体" w:eastAsia="宋体" w:cs="宋体"/>
                    </w:rPr>
                  </w:pPr>
                  <w:r>
                    <w:rPr>
                      <w:rFonts w:hint="eastAsia" w:ascii="宋体" w:hAnsi="宋体" w:eastAsia="宋体" w:cs="宋体"/>
                    </w:rPr>
                    <w:t>序号</w:t>
                  </w:r>
                </w:p>
              </w:tc>
              <w:tc>
                <w:tcPr>
                  <w:tcW w:w="3387" w:type="dxa"/>
                  <w:vAlign w:val="center"/>
                </w:tcPr>
                <w:p w14:paraId="602A6BB6">
                  <w:pPr>
                    <w:jc w:val="center"/>
                    <w:rPr>
                      <w:rFonts w:ascii="宋体" w:hAnsi="宋体" w:eastAsia="宋体" w:cs="宋体"/>
                    </w:rPr>
                  </w:pPr>
                  <w:r>
                    <w:rPr>
                      <w:rFonts w:hint="eastAsia" w:ascii="宋体" w:hAnsi="宋体" w:eastAsia="宋体" w:cs="宋体"/>
                    </w:rPr>
                    <w:t>配置名称</w:t>
                  </w:r>
                </w:p>
              </w:tc>
              <w:tc>
                <w:tcPr>
                  <w:tcW w:w="1712" w:type="dxa"/>
                  <w:vAlign w:val="center"/>
                </w:tcPr>
                <w:p w14:paraId="3F21303F">
                  <w:pPr>
                    <w:jc w:val="center"/>
                    <w:rPr>
                      <w:rFonts w:ascii="宋体" w:hAnsi="宋体" w:eastAsia="宋体" w:cs="宋体"/>
                    </w:rPr>
                  </w:pPr>
                  <w:r>
                    <w:rPr>
                      <w:rFonts w:hint="eastAsia" w:ascii="宋体" w:hAnsi="宋体" w:eastAsia="宋体" w:cs="宋体"/>
                    </w:rPr>
                    <w:t>单位</w:t>
                  </w:r>
                </w:p>
              </w:tc>
              <w:tc>
                <w:tcPr>
                  <w:tcW w:w="1712" w:type="dxa"/>
                  <w:vAlign w:val="center"/>
                </w:tcPr>
                <w:p w14:paraId="4DBBEEAE">
                  <w:pPr>
                    <w:jc w:val="center"/>
                    <w:rPr>
                      <w:rFonts w:ascii="宋体" w:hAnsi="宋体" w:eastAsia="宋体" w:cs="宋体"/>
                    </w:rPr>
                  </w:pPr>
                  <w:r>
                    <w:rPr>
                      <w:rFonts w:hint="eastAsia" w:ascii="宋体" w:hAnsi="宋体" w:eastAsia="宋体" w:cs="宋体"/>
                    </w:rPr>
                    <w:t>数量</w:t>
                  </w:r>
                </w:p>
              </w:tc>
            </w:tr>
            <w:tr w14:paraId="6CD4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08BF9999">
                  <w:pPr>
                    <w:jc w:val="center"/>
                    <w:rPr>
                      <w:rFonts w:ascii="宋体" w:hAnsi="宋体" w:eastAsia="宋体" w:cs="宋体"/>
                    </w:rPr>
                  </w:pPr>
                  <w:r>
                    <w:rPr>
                      <w:rFonts w:hint="eastAsia" w:ascii="宋体" w:hAnsi="宋体" w:eastAsia="宋体" w:cs="宋体"/>
                    </w:rPr>
                    <w:t>1</w:t>
                  </w:r>
                </w:p>
              </w:tc>
              <w:tc>
                <w:tcPr>
                  <w:tcW w:w="3387" w:type="dxa"/>
                  <w:vAlign w:val="center"/>
                </w:tcPr>
                <w:p w14:paraId="2920375D">
                  <w:pPr>
                    <w:jc w:val="center"/>
                    <w:rPr>
                      <w:rFonts w:ascii="宋体" w:hAnsi="宋体" w:eastAsia="宋体" w:cs="宋体"/>
                    </w:rPr>
                  </w:pPr>
                  <w:r>
                    <w:rPr>
                      <w:rFonts w:hint="eastAsia" w:ascii="宋体" w:hAnsi="宋体" w:eastAsia="宋体" w:cs="宋体"/>
                    </w:rPr>
                    <w:t>质构仪主机</w:t>
                  </w:r>
                </w:p>
              </w:tc>
              <w:tc>
                <w:tcPr>
                  <w:tcW w:w="1712" w:type="dxa"/>
                  <w:vAlign w:val="center"/>
                </w:tcPr>
                <w:p w14:paraId="389ADD4C">
                  <w:pPr>
                    <w:jc w:val="center"/>
                    <w:rPr>
                      <w:rFonts w:ascii="宋体" w:hAnsi="宋体" w:eastAsia="宋体" w:cs="宋体"/>
                    </w:rPr>
                  </w:pPr>
                  <w:r>
                    <w:rPr>
                      <w:rFonts w:hint="eastAsia" w:ascii="宋体" w:hAnsi="宋体" w:eastAsia="宋体" w:cs="宋体"/>
                    </w:rPr>
                    <w:t>台</w:t>
                  </w:r>
                </w:p>
              </w:tc>
              <w:tc>
                <w:tcPr>
                  <w:tcW w:w="1712" w:type="dxa"/>
                  <w:vAlign w:val="center"/>
                </w:tcPr>
                <w:p w14:paraId="6061ABBC">
                  <w:pPr>
                    <w:jc w:val="center"/>
                    <w:rPr>
                      <w:rFonts w:ascii="宋体" w:hAnsi="宋体" w:eastAsia="宋体" w:cs="宋体"/>
                    </w:rPr>
                  </w:pPr>
                  <w:r>
                    <w:rPr>
                      <w:rFonts w:hint="eastAsia" w:ascii="宋体" w:hAnsi="宋体" w:eastAsia="宋体" w:cs="宋体"/>
                    </w:rPr>
                    <w:t>1</w:t>
                  </w:r>
                </w:p>
              </w:tc>
            </w:tr>
            <w:tr w14:paraId="6F16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34D4C0EF">
                  <w:pPr>
                    <w:jc w:val="center"/>
                    <w:rPr>
                      <w:rFonts w:ascii="宋体" w:hAnsi="宋体" w:eastAsia="宋体" w:cs="宋体"/>
                    </w:rPr>
                  </w:pPr>
                  <w:r>
                    <w:rPr>
                      <w:rFonts w:hint="eastAsia" w:cs="仿宋" w:asciiTheme="minorEastAsia" w:hAnsiTheme="minorEastAsia"/>
                      <w:szCs w:val="21"/>
                      <w:lang w:bidi="ar"/>
                    </w:rPr>
                    <w:t>▲</w:t>
                  </w:r>
                  <w:r>
                    <w:rPr>
                      <w:rFonts w:hint="eastAsia" w:ascii="宋体" w:hAnsi="宋体" w:eastAsia="宋体" w:cs="宋体"/>
                    </w:rPr>
                    <w:t>2</w:t>
                  </w:r>
                </w:p>
              </w:tc>
              <w:tc>
                <w:tcPr>
                  <w:tcW w:w="3387" w:type="dxa"/>
                  <w:vAlign w:val="center"/>
                </w:tcPr>
                <w:p w14:paraId="43EB29E2">
                  <w:pPr>
                    <w:jc w:val="center"/>
                    <w:rPr>
                      <w:rFonts w:ascii="宋体" w:hAnsi="宋体" w:eastAsia="宋体" w:cs="宋体"/>
                    </w:rPr>
                  </w:pPr>
                  <w:r>
                    <w:rPr>
                      <w:rFonts w:hint="eastAsia" w:ascii="宋体" w:hAnsi="宋体" w:eastAsia="宋体" w:cs="宋体"/>
                    </w:rPr>
                    <w:t>专业物性分析软件(软件有软件著作权，软件自带物性教学视频10组以上，物性专业术语；测试指标曲线示意解读）</w:t>
                  </w:r>
                </w:p>
              </w:tc>
              <w:tc>
                <w:tcPr>
                  <w:tcW w:w="1712" w:type="dxa"/>
                  <w:vAlign w:val="center"/>
                </w:tcPr>
                <w:p w14:paraId="2226661B">
                  <w:pPr>
                    <w:jc w:val="center"/>
                    <w:rPr>
                      <w:rFonts w:ascii="宋体" w:hAnsi="宋体" w:eastAsia="宋体" w:cs="宋体"/>
                    </w:rPr>
                  </w:pPr>
                  <w:r>
                    <w:rPr>
                      <w:rFonts w:hint="eastAsia" w:ascii="宋体" w:hAnsi="宋体" w:eastAsia="宋体" w:cs="宋体"/>
                    </w:rPr>
                    <w:t>套</w:t>
                  </w:r>
                </w:p>
              </w:tc>
              <w:tc>
                <w:tcPr>
                  <w:tcW w:w="1712" w:type="dxa"/>
                  <w:vAlign w:val="center"/>
                </w:tcPr>
                <w:p w14:paraId="13AF4EB2">
                  <w:pPr>
                    <w:jc w:val="center"/>
                    <w:rPr>
                      <w:rFonts w:ascii="宋体" w:hAnsi="宋体" w:eastAsia="宋体" w:cs="宋体"/>
                    </w:rPr>
                  </w:pPr>
                  <w:r>
                    <w:rPr>
                      <w:rFonts w:hint="eastAsia" w:ascii="宋体" w:hAnsi="宋体" w:eastAsia="宋体" w:cs="宋体"/>
                    </w:rPr>
                    <w:t>1</w:t>
                  </w:r>
                </w:p>
              </w:tc>
            </w:tr>
            <w:tr w14:paraId="38E6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7424715C">
                  <w:pPr>
                    <w:jc w:val="center"/>
                    <w:rPr>
                      <w:rFonts w:ascii="宋体" w:hAnsi="宋体" w:eastAsia="宋体" w:cs="宋体"/>
                    </w:rPr>
                  </w:pPr>
                  <w:r>
                    <w:rPr>
                      <w:rFonts w:hint="eastAsia" w:ascii="宋体" w:hAnsi="宋体" w:eastAsia="宋体" w:cs="宋体"/>
                    </w:rPr>
                    <w:t>3</w:t>
                  </w:r>
                </w:p>
              </w:tc>
              <w:tc>
                <w:tcPr>
                  <w:tcW w:w="3387" w:type="dxa"/>
                  <w:vAlign w:val="center"/>
                </w:tcPr>
                <w:p w14:paraId="0ED6D632">
                  <w:pPr>
                    <w:jc w:val="center"/>
                    <w:rPr>
                      <w:rFonts w:ascii="宋体" w:hAnsi="宋体" w:eastAsia="宋体" w:cs="宋体"/>
                    </w:rPr>
                  </w:pPr>
                  <w:r>
                    <w:rPr>
                      <w:rFonts w:hint="eastAsia" w:ascii="宋体" w:hAnsi="宋体" w:eastAsia="宋体" w:cs="宋体"/>
                    </w:rPr>
                    <w:t>20KG力量传感器</w:t>
                  </w:r>
                </w:p>
              </w:tc>
              <w:tc>
                <w:tcPr>
                  <w:tcW w:w="1712" w:type="dxa"/>
                  <w:vAlign w:val="center"/>
                </w:tcPr>
                <w:p w14:paraId="40794F6A">
                  <w:pPr>
                    <w:jc w:val="center"/>
                    <w:rPr>
                      <w:rFonts w:ascii="宋体" w:hAnsi="宋体" w:eastAsia="宋体" w:cs="宋体"/>
                    </w:rPr>
                  </w:pPr>
                  <w:r>
                    <w:rPr>
                      <w:rFonts w:hint="eastAsia" w:ascii="宋体" w:hAnsi="宋体" w:eastAsia="宋体" w:cs="宋体"/>
                    </w:rPr>
                    <w:t>个</w:t>
                  </w:r>
                </w:p>
              </w:tc>
              <w:tc>
                <w:tcPr>
                  <w:tcW w:w="1712" w:type="dxa"/>
                  <w:vAlign w:val="center"/>
                </w:tcPr>
                <w:p w14:paraId="765F9A70">
                  <w:pPr>
                    <w:jc w:val="center"/>
                    <w:rPr>
                      <w:rFonts w:ascii="宋体" w:hAnsi="宋体" w:eastAsia="宋体" w:cs="宋体"/>
                    </w:rPr>
                  </w:pPr>
                  <w:r>
                    <w:rPr>
                      <w:rFonts w:hint="eastAsia" w:ascii="宋体" w:hAnsi="宋体" w:eastAsia="宋体" w:cs="宋体"/>
                    </w:rPr>
                    <w:t>1</w:t>
                  </w:r>
                </w:p>
              </w:tc>
            </w:tr>
            <w:tr w14:paraId="3033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698DF859">
                  <w:pPr>
                    <w:jc w:val="center"/>
                    <w:rPr>
                      <w:rFonts w:ascii="宋体" w:hAnsi="宋体" w:eastAsia="宋体" w:cs="宋体"/>
                    </w:rPr>
                  </w:pPr>
                  <w:r>
                    <w:rPr>
                      <w:rFonts w:hint="eastAsia" w:ascii="宋体" w:hAnsi="宋体" w:eastAsia="宋体" w:cs="宋体"/>
                    </w:rPr>
                    <w:t>4</w:t>
                  </w:r>
                </w:p>
              </w:tc>
              <w:tc>
                <w:tcPr>
                  <w:tcW w:w="3387" w:type="dxa"/>
                  <w:vAlign w:val="center"/>
                </w:tcPr>
                <w:p w14:paraId="3A13193F">
                  <w:pPr>
                    <w:jc w:val="center"/>
                    <w:rPr>
                      <w:rFonts w:ascii="宋体" w:hAnsi="宋体" w:eastAsia="宋体" w:cs="宋体"/>
                    </w:rPr>
                  </w:pPr>
                  <w:r>
                    <w:rPr>
                      <w:rFonts w:hint="eastAsia" w:ascii="宋体" w:hAnsi="宋体" w:eastAsia="宋体" w:cs="宋体"/>
                    </w:rPr>
                    <w:t>50KG力量传感器</w:t>
                  </w:r>
                </w:p>
              </w:tc>
              <w:tc>
                <w:tcPr>
                  <w:tcW w:w="1712" w:type="dxa"/>
                  <w:vAlign w:val="center"/>
                </w:tcPr>
                <w:p w14:paraId="6285113B">
                  <w:pPr>
                    <w:jc w:val="center"/>
                    <w:rPr>
                      <w:rFonts w:ascii="宋体" w:hAnsi="宋体" w:eastAsia="宋体" w:cs="宋体"/>
                    </w:rPr>
                  </w:pPr>
                  <w:r>
                    <w:rPr>
                      <w:rFonts w:hint="eastAsia" w:ascii="宋体" w:hAnsi="宋体" w:eastAsia="宋体" w:cs="宋体"/>
                    </w:rPr>
                    <w:t>个</w:t>
                  </w:r>
                </w:p>
              </w:tc>
              <w:tc>
                <w:tcPr>
                  <w:tcW w:w="1712" w:type="dxa"/>
                  <w:vAlign w:val="center"/>
                </w:tcPr>
                <w:p w14:paraId="0F73FDE8">
                  <w:pPr>
                    <w:jc w:val="center"/>
                    <w:rPr>
                      <w:rFonts w:ascii="宋体" w:hAnsi="宋体" w:eastAsia="宋体" w:cs="宋体"/>
                    </w:rPr>
                  </w:pPr>
                  <w:r>
                    <w:rPr>
                      <w:rFonts w:hint="eastAsia" w:ascii="宋体" w:hAnsi="宋体" w:eastAsia="宋体" w:cs="宋体"/>
                    </w:rPr>
                    <w:t>1</w:t>
                  </w:r>
                </w:p>
              </w:tc>
            </w:tr>
            <w:tr w14:paraId="53DE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02B12E5F">
                  <w:pPr>
                    <w:jc w:val="center"/>
                    <w:rPr>
                      <w:rFonts w:ascii="宋体" w:hAnsi="宋体" w:eastAsia="宋体" w:cs="宋体"/>
                    </w:rPr>
                  </w:pPr>
                  <w:r>
                    <w:rPr>
                      <w:rFonts w:hint="eastAsia" w:ascii="宋体" w:hAnsi="宋体" w:eastAsia="宋体" w:cs="宋体"/>
                    </w:rPr>
                    <w:t>5</w:t>
                  </w:r>
                </w:p>
              </w:tc>
              <w:tc>
                <w:tcPr>
                  <w:tcW w:w="3387" w:type="dxa"/>
                  <w:vAlign w:val="center"/>
                </w:tcPr>
                <w:p w14:paraId="370AB107">
                  <w:pPr>
                    <w:jc w:val="center"/>
                    <w:rPr>
                      <w:rFonts w:ascii="宋体" w:hAnsi="宋体" w:eastAsia="宋体" w:cs="宋体"/>
                    </w:rPr>
                  </w:pPr>
                  <w:r>
                    <w:rPr>
                      <w:rFonts w:hint="eastAsia" w:ascii="宋体" w:hAnsi="宋体" w:eastAsia="宋体" w:cs="宋体"/>
                    </w:rPr>
                    <w:t>数据采集器</w:t>
                  </w:r>
                </w:p>
              </w:tc>
              <w:tc>
                <w:tcPr>
                  <w:tcW w:w="1712" w:type="dxa"/>
                  <w:vAlign w:val="center"/>
                </w:tcPr>
                <w:p w14:paraId="113B61B8">
                  <w:pPr>
                    <w:jc w:val="center"/>
                    <w:rPr>
                      <w:rFonts w:ascii="宋体" w:hAnsi="宋体" w:eastAsia="宋体" w:cs="宋体"/>
                    </w:rPr>
                  </w:pPr>
                  <w:r>
                    <w:rPr>
                      <w:rFonts w:hint="eastAsia" w:ascii="宋体" w:hAnsi="宋体" w:eastAsia="宋体" w:cs="宋体"/>
                    </w:rPr>
                    <w:t>台</w:t>
                  </w:r>
                </w:p>
              </w:tc>
              <w:tc>
                <w:tcPr>
                  <w:tcW w:w="1712" w:type="dxa"/>
                  <w:vAlign w:val="center"/>
                </w:tcPr>
                <w:p w14:paraId="2BD95C7C">
                  <w:pPr>
                    <w:jc w:val="center"/>
                    <w:rPr>
                      <w:rFonts w:ascii="宋体" w:hAnsi="宋体" w:eastAsia="宋体" w:cs="宋体"/>
                    </w:rPr>
                  </w:pPr>
                  <w:r>
                    <w:rPr>
                      <w:rFonts w:hint="eastAsia" w:ascii="宋体" w:hAnsi="宋体" w:eastAsia="宋体" w:cs="宋体"/>
                    </w:rPr>
                    <w:t>1</w:t>
                  </w:r>
                </w:p>
              </w:tc>
            </w:tr>
            <w:tr w14:paraId="6A56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08580341">
                  <w:pPr>
                    <w:jc w:val="center"/>
                    <w:rPr>
                      <w:rFonts w:ascii="宋体" w:hAnsi="宋体" w:eastAsia="宋体" w:cs="宋体"/>
                    </w:rPr>
                  </w:pPr>
                  <w:r>
                    <w:rPr>
                      <w:rFonts w:hint="eastAsia" w:ascii="宋体" w:hAnsi="宋体" w:eastAsia="宋体" w:cs="宋体"/>
                    </w:rPr>
                    <w:t>6</w:t>
                  </w:r>
                </w:p>
              </w:tc>
              <w:tc>
                <w:tcPr>
                  <w:tcW w:w="3387" w:type="dxa"/>
                  <w:vAlign w:val="center"/>
                </w:tcPr>
                <w:p w14:paraId="1D54F4AB">
                  <w:pPr>
                    <w:jc w:val="center"/>
                    <w:rPr>
                      <w:rFonts w:ascii="宋体" w:hAnsi="宋体" w:eastAsia="宋体" w:cs="宋体"/>
                    </w:rPr>
                  </w:pPr>
                  <w:r>
                    <w:rPr>
                      <w:rFonts w:hint="eastAsia" w:ascii="宋体" w:hAnsi="宋体" w:eastAsia="宋体" w:cs="宋体"/>
                    </w:rPr>
                    <w:t>实验平台</w:t>
                  </w:r>
                </w:p>
              </w:tc>
              <w:tc>
                <w:tcPr>
                  <w:tcW w:w="1712" w:type="dxa"/>
                  <w:vAlign w:val="center"/>
                </w:tcPr>
                <w:p w14:paraId="244EC348">
                  <w:pPr>
                    <w:jc w:val="center"/>
                    <w:rPr>
                      <w:rFonts w:ascii="宋体" w:hAnsi="宋体" w:eastAsia="宋体" w:cs="宋体"/>
                    </w:rPr>
                  </w:pPr>
                  <w:r>
                    <w:rPr>
                      <w:rFonts w:hint="eastAsia" w:ascii="宋体" w:hAnsi="宋体" w:eastAsia="宋体" w:cs="宋体"/>
                    </w:rPr>
                    <w:t>个</w:t>
                  </w:r>
                </w:p>
              </w:tc>
              <w:tc>
                <w:tcPr>
                  <w:tcW w:w="1712" w:type="dxa"/>
                  <w:vAlign w:val="center"/>
                </w:tcPr>
                <w:p w14:paraId="38BED870">
                  <w:pPr>
                    <w:jc w:val="center"/>
                    <w:rPr>
                      <w:rFonts w:ascii="宋体" w:hAnsi="宋体" w:eastAsia="宋体" w:cs="宋体"/>
                    </w:rPr>
                  </w:pPr>
                  <w:r>
                    <w:rPr>
                      <w:rFonts w:hint="eastAsia" w:ascii="宋体" w:hAnsi="宋体" w:eastAsia="宋体" w:cs="宋体"/>
                    </w:rPr>
                    <w:t>1</w:t>
                  </w:r>
                </w:p>
              </w:tc>
            </w:tr>
            <w:tr w14:paraId="64D2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711" w:type="dxa"/>
                  <w:vAlign w:val="center"/>
                </w:tcPr>
                <w:p w14:paraId="07F6396F">
                  <w:pPr>
                    <w:jc w:val="center"/>
                    <w:rPr>
                      <w:rFonts w:ascii="宋体" w:hAnsi="宋体" w:eastAsia="宋体" w:cs="宋体"/>
                    </w:rPr>
                  </w:pPr>
                  <w:r>
                    <w:rPr>
                      <w:rFonts w:hint="eastAsia" w:ascii="宋体" w:hAnsi="宋体" w:eastAsia="宋体" w:cs="宋体"/>
                    </w:rPr>
                    <w:t>7</w:t>
                  </w:r>
                </w:p>
              </w:tc>
              <w:tc>
                <w:tcPr>
                  <w:tcW w:w="3387" w:type="dxa"/>
                  <w:vAlign w:val="center"/>
                </w:tcPr>
                <w:p w14:paraId="62054B66">
                  <w:pPr>
                    <w:jc w:val="center"/>
                    <w:rPr>
                      <w:rFonts w:ascii="宋体" w:hAnsi="宋体" w:eastAsia="宋体" w:cs="宋体"/>
                    </w:rPr>
                  </w:pPr>
                  <w:r>
                    <w:rPr>
                      <w:rFonts w:hint="eastAsia" w:ascii="宋体" w:hAnsi="宋体" w:eastAsia="宋体" w:cs="宋体"/>
                    </w:rPr>
                    <w:t xml:space="preserve">直径为2mm </w:t>
                  </w:r>
                  <w:r>
                    <w:rPr>
                      <w:rFonts w:hint="eastAsia" w:ascii="宋体" w:hAnsi="宋体" w:eastAsia="宋体" w:cs="宋体"/>
                      <w:lang w:val="en-US" w:eastAsia="zh-CN"/>
                    </w:rPr>
                    <w:t>的</w:t>
                  </w:r>
                  <w:r>
                    <w:rPr>
                      <w:rFonts w:hint="eastAsia" w:ascii="宋体" w:hAnsi="宋体" w:eastAsia="宋体" w:cs="宋体"/>
                    </w:rPr>
                    <w:t>柱形探头</w:t>
                  </w:r>
                </w:p>
              </w:tc>
              <w:tc>
                <w:tcPr>
                  <w:tcW w:w="1712" w:type="dxa"/>
                  <w:vAlign w:val="center"/>
                </w:tcPr>
                <w:p w14:paraId="67CBB01A">
                  <w:pPr>
                    <w:jc w:val="center"/>
                    <w:rPr>
                      <w:rFonts w:ascii="宋体" w:hAnsi="宋体" w:eastAsia="宋体" w:cs="宋体"/>
                    </w:rPr>
                  </w:pPr>
                  <w:r>
                    <w:rPr>
                      <w:rFonts w:hint="eastAsia" w:ascii="宋体" w:hAnsi="宋体" w:eastAsia="宋体" w:cs="宋体"/>
                    </w:rPr>
                    <w:t>个</w:t>
                  </w:r>
                </w:p>
              </w:tc>
              <w:tc>
                <w:tcPr>
                  <w:tcW w:w="1712" w:type="dxa"/>
                  <w:vAlign w:val="center"/>
                </w:tcPr>
                <w:p w14:paraId="7739620F">
                  <w:pPr>
                    <w:jc w:val="center"/>
                    <w:rPr>
                      <w:rFonts w:ascii="宋体" w:hAnsi="宋体" w:eastAsia="宋体" w:cs="宋体"/>
                    </w:rPr>
                  </w:pPr>
                  <w:r>
                    <w:rPr>
                      <w:rFonts w:hint="eastAsia" w:ascii="宋体" w:hAnsi="宋体" w:eastAsia="宋体" w:cs="宋体"/>
                    </w:rPr>
                    <w:t>1</w:t>
                  </w:r>
                </w:p>
              </w:tc>
            </w:tr>
            <w:tr w14:paraId="31E4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2B912FF7">
                  <w:pPr>
                    <w:jc w:val="center"/>
                    <w:rPr>
                      <w:rFonts w:ascii="宋体" w:hAnsi="宋体" w:eastAsia="宋体" w:cs="宋体"/>
                    </w:rPr>
                  </w:pPr>
                  <w:r>
                    <w:rPr>
                      <w:rFonts w:hint="eastAsia" w:ascii="宋体" w:hAnsi="宋体" w:eastAsia="宋体" w:cs="宋体"/>
                    </w:rPr>
                    <w:t>8</w:t>
                  </w:r>
                </w:p>
              </w:tc>
              <w:tc>
                <w:tcPr>
                  <w:tcW w:w="3387" w:type="dxa"/>
                  <w:vAlign w:val="center"/>
                </w:tcPr>
                <w:p w14:paraId="33992FA9">
                  <w:pPr>
                    <w:jc w:val="center"/>
                    <w:rPr>
                      <w:rFonts w:ascii="宋体" w:hAnsi="宋体" w:eastAsia="宋体" w:cs="宋体"/>
                    </w:rPr>
                  </w:pPr>
                  <w:r>
                    <w:rPr>
                      <w:rFonts w:hint="eastAsia" w:ascii="宋体" w:hAnsi="宋体" w:eastAsia="宋体" w:cs="宋体"/>
                    </w:rPr>
                    <w:t>直径为36mm</w:t>
                  </w:r>
                  <w:r>
                    <w:rPr>
                      <w:rFonts w:hint="eastAsia" w:ascii="宋体" w:hAnsi="宋体" w:eastAsia="宋体" w:cs="宋体"/>
                      <w:lang w:val="en-US" w:eastAsia="zh-CN"/>
                    </w:rPr>
                    <w:t>的</w:t>
                  </w:r>
                  <w:r>
                    <w:rPr>
                      <w:rFonts w:hint="eastAsia" w:ascii="宋体" w:hAnsi="宋体" w:eastAsia="宋体" w:cs="宋体"/>
                    </w:rPr>
                    <w:t>柱形探头</w:t>
                  </w:r>
                </w:p>
              </w:tc>
              <w:tc>
                <w:tcPr>
                  <w:tcW w:w="1712" w:type="dxa"/>
                  <w:vAlign w:val="center"/>
                </w:tcPr>
                <w:p w14:paraId="0C40D1BB">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0313B4FD">
                  <w:pPr>
                    <w:jc w:val="center"/>
                    <w:rPr>
                      <w:rFonts w:ascii="宋体" w:hAnsi="宋体" w:eastAsia="宋体" w:cs="宋体"/>
                    </w:rPr>
                  </w:pPr>
                  <w:r>
                    <w:rPr>
                      <w:rFonts w:hint="eastAsia" w:ascii="宋体" w:hAnsi="宋体" w:eastAsia="宋体" w:cs="宋体"/>
                    </w:rPr>
                    <w:t>1</w:t>
                  </w:r>
                </w:p>
              </w:tc>
            </w:tr>
            <w:tr w14:paraId="65E5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5595A117">
                  <w:pPr>
                    <w:jc w:val="center"/>
                    <w:rPr>
                      <w:rFonts w:ascii="宋体" w:hAnsi="宋体" w:eastAsia="宋体" w:cs="宋体"/>
                    </w:rPr>
                  </w:pPr>
                  <w:r>
                    <w:rPr>
                      <w:rFonts w:hint="eastAsia" w:ascii="宋体" w:hAnsi="宋体" w:eastAsia="宋体" w:cs="宋体"/>
                    </w:rPr>
                    <w:t>9</w:t>
                  </w:r>
                </w:p>
              </w:tc>
              <w:tc>
                <w:tcPr>
                  <w:tcW w:w="3387" w:type="dxa"/>
                  <w:vAlign w:val="center"/>
                </w:tcPr>
                <w:p w14:paraId="5B6084EB">
                  <w:pPr>
                    <w:jc w:val="center"/>
                    <w:rPr>
                      <w:rFonts w:ascii="宋体" w:hAnsi="宋体" w:eastAsia="宋体" w:cs="宋体"/>
                    </w:rPr>
                  </w:pPr>
                  <w:r>
                    <w:rPr>
                      <w:rFonts w:hint="eastAsia" w:ascii="宋体" w:hAnsi="宋体" w:eastAsia="宋体" w:cs="宋体"/>
                    </w:rPr>
                    <w:t>直径为50mm</w:t>
                  </w:r>
                  <w:r>
                    <w:rPr>
                      <w:rFonts w:hint="eastAsia" w:ascii="宋体" w:hAnsi="宋体" w:eastAsia="宋体" w:cs="宋体"/>
                      <w:lang w:val="en-US" w:eastAsia="zh-CN"/>
                    </w:rPr>
                    <w:t>的</w:t>
                  </w:r>
                  <w:r>
                    <w:rPr>
                      <w:rFonts w:hint="eastAsia" w:ascii="宋体" w:hAnsi="宋体" w:eastAsia="宋体" w:cs="宋体"/>
                    </w:rPr>
                    <w:t>柱形探头</w:t>
                  </w:r>
                </w:p>
              </w:tc>
              <w:tc>
                <w:tcPr>
                  <w:tcW w:w="1712" w:type="dxa"/>
                  <w:vAlign w:val="center"/>
                </w:tcPr>
                <w:p w14:paraId="1A7C26E5">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72230AEE">
                  <w:pPr>
                    <w:jc w:val="center"/>
                    <w:rPr>
                      <w:rFonts w:ascii="宋体" w:hAnsi="宋体" w:eastAsia="宋体" w:cs="宋体"/>
                    </w:rPr>
                  </w:pPr>
                  <w:r>
                    <w:rPr>
                      <w:rFonts w:hint="eastAsia" w:ascii="宋体" w:hAnsi="宋体" w:eastAsia="宋体" w:cs="宋体"/>
                    </w:rPr>
                    <w:t>1</w:t>
                  </w:r>
                </w:p>
              </w:tc>
            </w:tr>
            <w:tr w14:paraId="69B0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61CF20DC">
                  <w:pPr>
                    <w:jc w:val="center"/>
                    <w:rPr>
                      <w:rFonts w:ascii="宋体" w:hAnsi="宋体" w:eastAsia="宋体" w:cs="宋体"/>
                    </w:rPr>
                  </w:pPr>
                  <w:r>
                    <w:rPr>
                      <w:rFonts w:hint="eastAsia" w:ascii="宋体" w:hAnsi="宋体" w:eastAsia="宋体" w:cs="宋体"/>
                    </w:rPr>
                    <w:t>10</w:t>
                  </w:r>
                </w:p>
              </w:tc>
              <w:tc>
                <w:tcPr>
                  <w:tcW w:w="3387" w:type="dxa"/>
                  <w:vAlign w:val="center"/>
                </w:tcPr>
                <w:p w14:paraId="0A852425">
                  <w:pPr>
                    <w:jc w:val="center"/>
                    <w:rPr>
                      <w:rFonts w:ascii="宋体" w:hAnsi="宋体" w:eastAsia="宋体" w:cs="宋体"/>
                    </w:rPr>
                  </w:pPr>
                  <w:r>
                    <w:rPr>
                      <w:rFonts w:hint="eastAsia" w:ascii="宋体" w:hAnsi="宋体" w:eastAsia="宋体" w:cs="宋体"/>
                    </w:rPr>
                    <w:t>直径为100mm</w:t>
                  </w:r>
                  <w:r>
                    <w:rPr>
                      <w:rFonts w:hint="eastAsia" w:ascii="宋体" w:hAnsi="宋体" w:eastAsia="宋体" w:cs="宋体"/>
                      <w:lang w:val="en-US" w:eastAsia="zh-CN"/>
                    </w:rPr>
                    <w:t>的</w:t>
                  </w:r>
                  <w:r>
                    <w:rPr>
                      <w:rFonts w:hint="eastAsia" w:ascii="宋体" w:hAnsi="宋体" w:eastAsia="宋体" w:cs="宋体"/>
                    </w:rPr>
                    <w:t>压盘探头</w:t>
                  </w:r>
                </w:p>
              </w:tc>
              <w:tc>
                <w:tcPr>
                  <w:tcW w:w="1712" w:type="dxa"/>
                  <w:vAlign w:val="center"/>
                </w:tcPr>
                <w:p w14:paraId="04A038C6">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416D8899">
                  <w:pPr>
                    <w:jc w:val="center"/>
                    <w:rPr>
                      <w:rFonts w:ascii="宋体" w:hAnsi="宋体" w:eastAsia="宋体" w:cs="宋体"/>
                    </w:rPr>
                  </w:pPr>
                  <w:r>
                    <w:rPr>
                      <w:rFonts w:hint="eastAsia" w:ascii="宋体" w:hAnsi="宋体" w:eastAsia="宋体" w:cs="宋体"/>
                    </w:rPr>
                    <w:t>1</w:t>
                  </w:r>
                </w:p>
              </w:tc>
            </w:tr>
            <w:tr w14:paraId="2A6A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66CFCE68">
                  <w:pPr>
                    <w:jc w:val="center"/>
                    <w:rPr>
                      <w:rFonts w:ascii="宋体" w:hAnsi="宋体" w:eastAsia="宋体" w:cs="宋体"/>
                    </w:rPr>
                  </w:pPr>
                  <w:r>
                    <w:rPr>
                      <w:rFonts w:hint="eastAsia" w:ascii="宋体" w:hAnsi="宋体" w:eastAsia="宋体" w:cs="宋体"/>
                    </w:rPr>
                    <w:t>11</w:t>
                  </w:r>
                </w:p>
              </w:tc>
              <w:tc>
                <w:tcPr>
                  <w:tcW w:w="3387" w:type="dxa"/>
                  <w:vAlign w:val="center"/>
                </w:tcPr>
                <w:p w14:paraId="2CFCA883">
                  <w:pPr>
                    <w:jc w:val="center"/>
                    <w:rPr>
                      <w:rFonts w:ascii="宋体" w:hAnsi="宋体" w:eastAsia="宋体" w:cs="宋体"/>
                    </w:rPr>
                  </w:pPr>
                  <w:r>
                    <w:rPr>
                      <w:rFonts w:hint="eastAsia" w:ascii="宋体" w:hAnsi="宋体" w:eastAsia="宋体" w:cs="宋体"/>
                    </w:rPr>
                    <w:t>凝胶探头</w:t>
                  </w:r>
                </w:p>
              </w:tc>
              <w:tc>
                <w:tcPr>
                  <w:tcW w:w="1712" w:type="dxa"/>
                  <w:vAlign w:val="center"/>
                </w:tcPr>
                <w:p w14:paraId="1A1A2F33">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0EC0C97C">
                  <w:pPr>
                    <w:jc w:val="center"/>
                    <w:rPr>
                      <w:rFonts w:ascii="宋体" w:hAnsi="宋体" w:eastAsia="宋体" w:cs="宋体"/>
                    </w:rPr>
                  </w:pPr>
                  <w:r>
                    <w:rPr>
                      <w:rFonts w:hint="eastAsia" w:ascii="宋体" w:hAnsi="宋体" w:eastAsia="宋体" w:cs="宋体"/>
                    </w:rPr>
                    <w:t>1</w:t>
                  </w:r>
                </w:p>
              </w:tc>
            </w:tr>
            <w:tr w14:paraId="3B3C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0D684493">
                  <w:pPr>
                    <w:jc w:val="center"/>
                    <w:rPr>
                      <w:rFonts w:ascii="宋体" w:hAnsi="宋体" w:eastAsia="宋体" w:cs="宋体"/>
                    </w:rPr>
                  </w:pPr>
                  <w:r>
                    <w:rPr>
                      <w:rFonts w:hint="eastAsia" w:ascii="宋体" w:hAnsi="宋体" w:eastAsia="宋体" w:cs="宋体"/>
                    </w:rPr>
                    <w:t>12</w:t>
                  </w:r>
                </w:p>
              </w:tc>
              <w:tc>
                <w:tcPr>
                  <w:tcW w:w="3387" w:type="dxa"/>
                  <w:vAlign w:val="center"/>
                </w:tcPr>
                <w:p w14:paraId="6B2A45F4">
                  <w:pPr>
                    <w:jc w:val="center"/>
                    <w:rPr>
                      <w:rFonts w:ascii="宋体" w:hAnsi="宋体" w:eastAsia="宋体" w:cs="宋体"/>
                    </w:rPr>
                  </w:pPr>
                  <w:r>
                    <w:rPr>
                      <w:rFonts w:hint="eastAsia" w:ascii="宋体" w:hAnsi="宋体" w:eastAsia="宋体" w:cs="宋体"/>
                    </w:rPr>
                    <w:t>直径为0.5英寸</w:t>
                  </w:r>
                  <w:r>
                    <w:rPr>
                      <w:rFonts w:hint="eastAsia" w:ascii="宋体" w:hAnsi="宋体" w:eastAsia="宋体" w:cs="宋体"/>
                      <w:lang w:val="en-US" w:eastAsia="zh-CN"/>
                    </w:rPr>
                    <w:t>的</w:t>
                  </w:r>
                  <w:r>
                    <w:rPr>
                      <w:rFonts w:hint="eastAsia" w:ascii="宋体" w:hAnsi="宋体" w:eastAsia="宋体" w:cs="宋体"/>
                    </w:rPr>
                    <w:t>球形探头</w:t>
                  </w:r>
                </w:p>
              </w:tc>
              <w:tc>
                <w:tcPr>
                  <w:tcW w:w="1712" w:type="dxa"/>
                  <w:vAlign w:val="center"/>
                </w:tcPr>
                <w:p w14:paraId="4F9C6781">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77108612">
                  <w:pPr>
                    <w:jc w:val="center"/>
                    <w:rPr>
                      <w:rFonts w:ascii="宋体" w:hAnsi="宋体" w:eastAsia="宋体" w:cs="宋体"/>
                    </w:rPr>
                  </w:pPr>
                  <w:r>
                    <w:rPr>
                      <w:rFonts w:hint="eastAsia" w:ascii="宋体" w:hAnsi="宋体" w:eastAsia="宋体" w:cs="宋体"/>
                    </w:rPr>
                    <w:t>1</w:t>
                  </w:r>
                </w:p>
              </w:tc>
            </w:tr>
            <w:tr w14:paraId="173D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1" w:type="dxa"/>
                  <w:vAlign w:val="center"/>
                </w:tcPr>
                <w:p w14:paraId="0C8DF82F">
                  <w:pPr>
                    <w:jc w:val="center"/>
                    <w:rPr>
                      <w:rFonts w:ascii="宋体" w:hAnsi="宋体" w:eastAsia="宋体" w:cs="宋体"/>
                    </w:rPr>
                  </w:pPr>
                  <w:r>
                    <w:rPr>
                      <w:rFonts w:hint="eastAsia" w:ascii="宋体" w:hAnsi="宋体" w:eastAsia="宋体" w:cs="宋体"/>
                    </w:rPr>
                    <w:t>13</w:t>
                  </w:r>
                </w:p>
              </w:tc>
              <w:tc>
                <w:tcPr>
                  <w:tcW w:w="3387" w:type="dxa"/>
                  <w:vAlign w:val="center"/>
                </w:tcPr>
                <w:p w14:paraId="2D6C35A8">
                  <w:pPr>
                    <w:jc w:val="center"/>
                    <w:rPr>
                      <w:rFonts w:ascii="宋体" w:hAnsi="宋体" w:eastAsia="宋体" w:cs="宋体"/>
                    </w:rPr>
                  </w:pPr>
                  <w:r>
                    <w:rPr>
                      <w:rFonts w:hint="eastAsia" w:ascii="宋体" w:hAnsi="宋体" w:eastAsia="宋体" w:cs="宋体"/>
                    </w:rPr>
                    <w:t>直径为1英寸</w:t>
                  </w:r>
                  <w:r>
                    <w:rPr>
                      <w:rFonts w:hint="eastAsia" w:ascii="宋体" w:hAnsi="宋体" w:eastAsia="宋体" w:cs="宋体"/>
                      <w:lang w:val="en-US" w:eastAsia="zh-CN"/>
                    </w:rPr>
                    <w:t>的</w:t>
                  </w:r>
                  <w:r>
                    <w:rPr>
                      <w:rFonts w:hint="eastAsia" w:ascii="宋体" w:hAnsi="宋体" w:eastAsia="宋体" w:cs="宋体"/>
                    </w:rPr>
                    <w:t>球形探头</w:t>
                  </w:r>
                </w:p>
              </w:tc>
              <w:tc>
                <w:tcPr>
                  <w:tcW w:w="1712" w:type="dxa"/>
                  <w:shd w:val="clear" w:color="auto" w:fill="auto"/>
                  <w:vAlign w:val="center"/>
                </w:tcPr>
                <w:p w14:paraId="2DF9D892">
                  <w:pPr>
                    <w:jc w:val="center"/>
                    <w:rPr>
                      <w:rFonts w:ascii="宋体" w:hAnsi="宋体" w:eastAsia="宋体" w:cs="宋体"/>
                    </w:rPr>
                  </w:pPr>
                  <w:r>
                    <w:rPr>
                      <w:rFonts w:hint="eastAsia" w:ascii="宋体" w:hAnsi="宋体" w:eastAsia="宋体" w:cs="宋体"/>
                    </w:rPr>
                    <w:t>个</w:t>
                  </w:r>
                </w:p>
              </w:tc>
              <w:tc>
                <w:tcPr>
                  <w:tcW w:w="1712" w:type="dxa"/>
                  <w:shd w:val="clear" w:color="auto" w:fill="auto"/>
                  <w:vAlign w:val="center"/>
                </w:tcPr>
                <w:p w14:paraId="6EA3AA1A">
                  <w:pPr>
                    <w:jc w:val="center"/>
                    <w:rPr>
                      <w:rFonts w:ascii="宋体" w:hAnsi="宋体" w:eastAsia="宋体" w:cs="宋体"/>
                    </w:rPr>
                  </w:pPr>
                  <w:r>
                    <w:rPr>
                      <w:rFonts w:hint="eastAsia" w:ascii="宋体" w:hAnsi="宋体" w:eastAsia="宋体" w:cs="宋体"/>
                    </w:rPr>
                    <w:t>1</w:t>
                  </w:r>
                </w:p>
              </w:tc>
            </w:tr>
            <w:tr w14:paraId="5C11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3ACD6D6">
                  <w:pPr>
                    <w:jc w:val="center"/>
                    <w:rPr>
                      <w:rFonts w:ascii="宋体" w:hAnsi="宋体" w:eastAsia="宋体" w:cs="宋体"/>
                    </w:rPr>
                  </w:pPr>
                  <w:r>
                    <w:rPr>
                      <w:rFonts w:hint="eastAsia" w:ascii="宋体" w:hAnsi="宋体" w:eastAsia="宋体" w:cs="宋体"/>
                    </w:rPr>
                    <w:t>14</w:t>
                  </w:r>
                </w:p>
              </w:tc>
              <w:tc>
                <w:tcPr>
                  <w:tcW w:w="0" w:type="auto"/>
                </w:tcPr>
                <w:p w14:paraId="65C2A6B5">
                  <w:pPr>
                    <w:jc w:val="center"/>
                    <w:rPr>
                      <w:rFonts w:ascii="宋体" w:hAnsi="宋体" w:eastAsia="宋体" w:cs="宋体"/>
                    </w:rPr>
                  </w:pPr>
                  <w:r>
                    <w:rPr>
                      <w:rFonts w:hint="eastAsia" w:ascii="宋体" w:hAnsi="宋体" w:eastAsia="宋体" w:cs="宋体"/>
                    </w:rPr>
                    <w:t>反挤压装置</w:t>
                  </w:r>
                </w:p>
              </w:tc>
              <w:tc>
                <w:tcPr>
                  <w:tcW w:w="0" w:type="auto"/>
                  <w:shd w:val="clear" w:color="auto" w:fill="auto"/>
                  <w:vAlign w:val="center"/>
                </w:tcPr>
                <w:p w14:paraId="3D7EA96C">
                  <w:pPr>
                    <w:jc w:val="center"/>
                    <w:rPr>
                      <w:rFonts w:ascii="宋体" w:hAnsi="宋体" w:eastAsia="宋体" w:cs="宋体"/>
                    </w:rPr>
                  </w:pPr>
                  <w:r>
                    <w:rPr>
                      <w:rFonts w:hint="eastAsia" w:ascii="宋体" w:hAnsi="宋体" w:eastAsia="宋体" w:cs="宋体"/>
                    </w:rPr>
                    <w:t>套</w:t>
                  </w:r>
                </w:p>
              </w:tc>
              <w:tc>
                <w:tcPr>
                  <w:tcW w:w="0" w:type="auto"/>
                  <w:shd w:val="clear" w:color="auto" w:fill="auto"/>
                  <w:vAlign w:val="center"/>
                </w:tcPr>
                <w:p w14:paraId="64A7E9F3">
                  <w:pPr>
                    <w:jc w:val="center"/>
                    <w:rPr>
                      <w:rFonts w:ascii="宋体" w:hAnsi="宋体" w:eastAsia="宋体" w:cs="宋体"/>
                    </w:rPr>
                  </w:pPr>
                  <w:r>
                    <w:rPr>
                      <w:rFonts w:hint="eastAsia" w:ascii="宋体" w:hAnsi="宋体" w:eastAsia="宋体" w:cs="宋体"/>
                    </w:rPr>
                    <w:t>1</w:t>
                  </w:r>
                </w:p>
              </w:tc>
            </w:tr>
            <w:tr w14:paraId="454B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1B43FAE">
                  <w:pPr>
                    <w:jc w:val="center"/>
                    <w:rPr>
                      <w:rFonts w:ascii="宋体" w:hAnsi="宋体" w:eastAsia="宋体" w:cs="宋体"/>
                    </w:rPr>
                  </w:pPr>
                  <w:r>
                    <w:rPr>
                      <w:rFonts w:hint="eastAsia" w:ascii="宋体" w:hAnsi="宋体" w:eastAsia="宋体" w:cs="宋体"/>
                    </w:rPr>
                    <w:t>15</w:t>
                  </w:r>
                </w:p>
              </w:tc>
              <w:tc>
                <w:tcPr>
                  <w:tcW w:w="0" w:type="auto"/>
                </w:tcPr>
                <w:p w14:paraId="3A8BD75C">
                  <w:pPr>
                    <w:jc w:val="center"/>
                    <w:rPr>
                      <w:rFonts w:ascii="宋体" w:hAnsi="宋体" w:eastAsia="宋体" w:cs="宋体"/>
                    </w:rPr>
                  </w:pPr>
                  <w:r>
                    <w:rPr>
                      <w:rFonts w:hint="eastAsia" w:ascii="宋体" w:hAnsi="宋体" w:eastAsia="宋体" w:cs="宋体"/>
                    </w:rPr>
                    <w:t>鸡蛋托</w:t>
                  </w:r>
                </w:p>
              </w:tc>
              <w:tc>
                <w:tcPr>
                  <w:tcW w:w="0" w:type="auto"/>
                  <w:shd w:val="clear" w:color="auto" w:fill="auto"/>
                  <w:vAlign w:val="center"/>
                </w:tcPr>
                <w:p w14:paraId="29D70103">
                  <w:pPr>
                    <w:jc w:val="center"/>
                    <w:rPr>
                      <w:rFonts w:ascii="宋体" w:hAnsi="宋体" w:eastAsia="宋体" w:cs="宋体"/>
                    </w:rPr>
                  </w:pPr>
                  <w:r>
                    <w:rPr>
                      <w:rFonts w:hint="eastAsia" w:ascii="宋体" w:hAnsi="宋体" w:eastAsia="宋体" w:cs="宋体"/>
                    </w:rPr>
                    <w:t>个</w:t>
                  </w:r>
                </w:p>
              </w:tc>
              <w:tc>
                <w:tcPr>
                  <w:tcW w:w="1566" w:type="dxa"/>
                  <w:shd w:val="clear" w:color="auto" w:fill="auto"/>
                  <w:vAlign w:val="center"/>
                </w:tcPr>
                <w:p w14:paraId="390D686C">
                  <w:pPr>
                    <w:jc w:val="center"/>
                    <w:rPr>
                      <w:rFonts w:ascii="宋体" w:hAnsi="宋体" w:eastAsia="宋体" w:cs="宋体"/>
                    </w:rPr>
                  </w:pPr>
                  <w:r>
                    <w:rPr>
                      <w:rFonts w:hint="eastAsia" w:ascii="宋体" w:hAnsi="宋体" w:eastAsia="宋体" w:cs="宋体"/>
                    </w:rPr>
                    <w:t>1</w:t>
                  </w:r>
                </w:p>
              </w:tc>
            </w:tr>
            <w:tr w14:paraId="5EDD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763F33B">
                  <w:pPr>
                    <w:jc w:val="center"/>
                    <w:rPr>
                      <w:rFonts w:ascii="宋体" w:hAnsi="宋体" w:eastAsia="宋体" w:cs="宋体"/>
                    </w:rPr>
                  </w:pPr>
                  <w:r>
                    <w:rPr>
                      <w:rFonts w:hint="eastAsia" w:ascii="宋体" w:hAnsi="宋体" w:eastAsia="宋体" w:cs="宋体"/>
                    </w:rPr>
                    <w:t>16</w:t>
                  </w:r>
                </w:p>
              </w:tc>
              <w:tc>
                <w:tcPr>
                  <w:tcW w:w="0" w:type="auto"/>
                </w:tcPr>
                <w:p w14:paraId="2E381E6D">
                  <w:pPr>
                    <w:jc w:val="center"/>
                    <w:rPr>
                      <w:rFonts w:ascii="宋体" w:hAnsi="宋体" w:eastAsia="宋体" w:cs="宋体"/>
                    </w:rPr>
                  </w:pPr>
                  <w:r>
                    <w:rPr>
                      <w:rFonts w:hint="eastAsia" w:ascii="宋体" w:hAnsi="宋体" w:eastAsia="宋体" w:cs="宋体"/>
                    </w:rPr>
                    <w:t>三点折断装置</w:t>
                  </w:r>
                </w:p>
              </w:tc>
              <w:tc>
                <w:tcPr>
                  <w:tcW w:w="0" w:type="auto"/>
                  <w:shd w:val="clear" w:color="auto" w:fill="auto"/>
                  <w:vAlign w:val="center"/>
                </w:tcPr>
                <w:p w14:paraId="6F0B0C3B">
                  <w:pPr>
                    <w:jc w:val="center"/>
                    <w:rPr>
                      <w:rFonts w:ascii="宋体" w:hAnsi="宋体" w:eastAsia="宋体" w:cs="宋体"/>
                    </w:rPr>
                  </w:pPr>
                  <w:r>
                    <w:rPr>
                      <w:rFonts w:hint="eastAsia" w:ascii="宋体" w:hAnsi="宋体" w:eastAsia="宋体" w:cs="宋体"/>
                    </w:rPr>
                    <w:t>套</w:t>
                  </w:r>
                </w:p>
              </w:tc>
              <w:tc>
                <w:tcPr>
                  <w:tcW w:w="1566" w:type="dxa"/>
                  <w:shd w:val="clear" w:color="auto" w:fill="auto"/>
                  <w:vAlign w:val="center"/>
                </w:tcPr>
                <w:p w14:paraId="383DFCAB">
                  <w:pPr>
                    <w:jc w:val="center"/>
                    <w:rPr>
                      <w:rFonts w:ascii="宋体" w:hAnsi="宋体" w:eastAsia="宋体" w:cs="宋体"/>
                    </w:rPr>
                  </w:pPr>
                  <w:r>
                    <w:rPr>
                      <w:rFonts w:hint="eastAsia" w:ascii="宋体" w:hAnsi="宋体" w:eastAsia="宋体" w:cs="宋体"/>
                    </w:rPr>
                    <w:t>1</w:t>
                  </w:r>
                </w:p>
              </w:tc>
            </w:tr>
            <w:tr w14:paraId="1859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9D1C9A7">
                  <w:pPr>
                    <w:jc w:val="center"/>
                    <w:rPr>
                      <w:rFonts w:ascii="宋体" w:hAnsi="宋体" w:eastAsia="宋体" w:cs="宋体"/>
                    </w:rPr>
                  </w:pPr>
                  <w:r>
                    <w:rPr>
                      <w:rFonts w:hint="eastAsia" w:ascii="宋体" w:hAnsi="宋体" w:eastAsia="宋体" w:cs="宋体"/>
                    </w:rPr>
                    <w:t>17</w:t>
                  </w:r>
                </w:p>
              </w:tc>
              <w:tc>
                <w:tcPr>
                  <w:tcW w:w="0" w:type="auto"/>
                </w:tcPr>
                <w:p w14:paraId="4F50B3ED">
                  <w:pPr>
                    <w:jc w:val="center"/>
                    <w:rPr>
                      <w:rFonts w:ascii="宋体" w:hAnsi="宋体" w:eastAsia="宋体" w:cs="宋体"/>
                    </w:rPr>
                  </w:pPr>
                  <w:r>
                    <w:rPr>
                      <w:rFonts w:hint="eastAsia" w:ascii="宋体" w:hAnsi="宋体" w:eastAsia="宋体" w:cs="宋体"/>
                    </w:rPr>
                    <w:t>楔形切刀</w:t>
                  </w:r>
                </w:p>
              </w:tc>
              <w:tc>
                <w:tcPr>
                  <w:tcW w:w="0" w:type="auto"/>
                  <w:shd w:val="clear" w:color="auto" w:fill="auto"/>
                  <w:vAlign w:val="center"/>
                </w:tcPr>
                <w:p w14:paraId="0350EE8B">
                  <w:pPr>
                    <w:jc w:val="center"/>
                    <w:rPr>
                      <w:rFonts w:ascii="宋体" w:hAnsi="宋体" w:eastAsia="宋体" w:cs="宋体"/>
                    </w:rPr>
                  </w:pPr>
                  <w:r>
                    <w:rPr>
                      <w:rFonts w:hint="eastAsia" w:ascii="宋体" w:hAnsi="宋体" w:eastAsia="宋体" w:cs="宋体"/>
                    </w:rPr>
                    <w:t>套</w:t>
                  </w:r>
                </w:p>
              </w:tc>
              <w:tc>
                <w:tcPr>
                  <w:tcW w:w="1566" w:type="dxa"/>
                  <w:shd w:val="clear" w:color="auto" w:fill="auto"/>
                  <w:vAlign w:val="center"/>
                </w:tcPr>
                <w:p w14:paraId="50CDAF7E">
                  <w:pPr>
                    <w:jc w:val="center"/>
                    <w:rPr>
                      <w:rFonts w:ascii="宋体" w:hAnsi="宋体" w:eastAsia="宋体" w:cs="宋体"/>
                    </w:rPr>
                  </w:pPr>
                  <w:r>
                    <w:rPr>
                      <w:rFonts w:hint="eastAsia" w:ascii="宋体" w:hAnsi="宋体" w:eastAsia="宋体" w:cs="宋体"/>
                    </w:rPr>
                    <w:t>1</w:t>
                  </w:r>
                </w:p>
              </w:tc>
            </w:tr>
            <w:tr w14:paraId="704F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4F106DB">
                  <w:pPr>
                    <w:jc w:val="center"/>
                    <w:rPr>
                      <w:rFonts w:ascii="宋体" w:hAnsi="宋体" w:eastAsia="宋体" w:cs="宋体"/>
                    </w:rPr>
                  </w:pPr>
                  <w:r>
                    <w:rPr>
                      <w:rFonts w:hint="eastAsia" w:ascii="宋体" w:hAnsi="宋体" w:eastAsia="宋体" w:cs="宋体"/>
                    </w:rPr>
                    <w:t>18</w:t>
                  </w:r>
                </w:p>
              </w:tc>
              <w:tc>
                <w:tcPr>
                  <w:tcW w:w="0" w:type="auto"/>
                </w:tcPr>
                <w:p w14:paraId="37693F8D">
                  <w:pPr>
                    <w:jc w:val="center"/>
                    <w:rPr>
                      <w:rFonts w:ascii="宋体" w:hAnsi="宋体" w:eastAsia="宋体" w:cs="宋体"/>
                    </w:rPr>
                  </w:pPr>
                  <w:r>
                    <w:rPr>
                      <w:rFonts w:hint="eastAsia" w:ascii="宋体" w:hAnsi="宋体" w:eastAsia="宋体" w:cs="宋体"/>
                    </w:rPr>
                    <w:t>剪切刀具（刃口装置包括斜口和直角切刀）</w:t>
                  </w:r>
                </w:p>
              </w:tc>
              <w:tc>
                <w:tcPr>
                  <w:tcW w:w="0" w:type="auto"/>
                  <w:shd w:val="clear" w:color="auto" w:fill="auto"/>
                  <w:vAlign w:val="center"/>
                </w:tcPr>
                <w:p w14:paraId="07C2940C">
                  <w:pPr>
                    <w:jc w:val="center"/>
                    <w:rPr>
                      <w:rFonts w:ascii="宋体" w:hAnsi="宋体" w:eastAsia="宋体" w:cs="宋体"/>
                    </w:rPr>
                  </w:pPr>
                  <w:r>
                    <w:rPr>
                      <w:rFonts w:hint="eastAsia" w:ascii="宋体" w:hAnsi="宋体" w:eastAsia="宋体" w:cs="宋体"/>
                    </w:rPr>
                    <w:t>套</w:t>
                  </w:r>
                </w:p>
              </w:tc>
              <w:tc>
                <w:tcPr>
                  <w:tcW w:w="1566" w:type="dxa"/>
                  <w:shd w:val="clear" w:color="auto" w:fill="auto"/>
                  <w:vAlign w:val="center"/>
                </w:tcPr>
                <w:p w14:paraId="64E17494">
                  <w:pPr>
                    <w:jc w:val="center"/>
                    <w:rPr>
                      <w:rFonts w:ascii="宋体" w:hAnsi="宋体" w:eastAsia="宋体" w:cs="宋体"/>
                    </w:rPr>
                  </w:pPr>
                  <w:r>
                    <w:rPr>
                      <w:rFonts w:hint="eastAsia" w:ascii="宋体" w:hAnsi="宋体" w:eastAsia="宋体" w:cs="宋体"/>
                    </w:rPr>
                    <w:t>1</w:t>
                  </w:r>
                </w:p>
              </w:tc>
            </w:tr>
            <w:tr w14:paraId="3472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3D59D69">
                  <w:pPr>
                    <w:jc w:val="center"/>
                    <w:rPr>
                      <w:rFonts w:ascii="宋体" w:hAnsi="宋体" w:eastAsia="宋体" w:cs="宋体"/>
                    </w:rPr>
                  </w:pPr>
                  <w:r>
                    <w:rPr>
                      <w:rFonts w:hint="eastAsia" w:ascii="宋体" w:hAnsi="宋体" w:eastAsia="宋体" w:cs="宋体"/>
                    </w:rPr>
                    <w:t>19</w:t>
                  </w:r>
                </w:p>
              </w:tc>
              <w:tc>
                <w:tcPr>
                  <w:tcW w:w="0" w:type="auto"/>
                </w:tcPr>
                <w:p w14:paraId="09B9CAC4">
                  <w:pPr>
                    <w:jc w:val="center"/>
                    <w:rPr>
                      <w:rFonts w:ascii="宋体" w:hAnsi="宋体" w:eastAsia="宋体" w:cs="宋体"/>
                    </w:rPr>
                  </w:pPr>
                  <w:r>
                    <w:rPr>
                      <w:rFonts w:hint="eastAsia" w:ascii="宋体" w:hAnsi="宋体" w:eastAsia="宋体" w:cs="宋体"/>
                    </w:rPr>
                    <w:t>精细刀具</w:t>
                  </w:r>
                </w:p>
              </w:tc>
              <w:tc>
                <w:tcPr>
                  <w:tcW w:w="0" w:type="auto"/>
                  <w:shd w:val="clear" w:color="auto" w:fill="auto"/>
                  <w:vAlign w:val="center"/>
                </w:tcPr>
                <w:p w14:paraId="741C85BB">
                  <w:pPr>
                    <w:jc w:val="center"/>
                    <w:rPr>
                      <w:rFonts w:ascii="宋体" w:hAnsi="宋体" w:eastAsia="宋体" w:cs="宋体"/>
                    </w:rPr>
                  </w:pPr>
                  <w:r>
                    <w:rPr>
                      <w:rFonts w:hint="eastAsia" w:ascii="宋体" w:hAnsi="宋体" w:eastAsia="宋体" w:cs="宋体"/>
                      <w:lang w:val="en-US" w:eastAsia="zh-CN"/>
                    </w:rPr>
                    <w:t>套</w:t>
                  </w:r>
                </w:p>
              </w:tc>
              <w:tc>
                <w:tcPr>
                  <w:tcW w:w="1566" w:type="dxa"/>
                  <w:shd w:val="clear" w:color="auto" w:fill="auto"/>
                  <w:vAlign w:val="center"/>
                </w:tcPr>
                <w:p w14:paraId="48F43A14">
                  <w:pPr>
                    <w:jc w:val="center"/>
                    <w:rPr>
                      <w:rFonts w:ascii="宋体" w:hAnsi="宋体" w:eastAsia="宋体" w:cs="宋体"/>
                    </w:rPr>
                  </w:pPr>
                  <w:r>
                    <w:rPr>
                      <w:rFonts w:hint="eastAsia" w:ascii="宋体" w:hAnsi="宋体" w:eastAsia="宋体" w:cs="宋体"/>
                    </w:rPr>
                    <w:t>1</w:t>
                  </w:r>
                </w:p>
              </w:tc>
            </w:tr>
            <w:tr w14:paraId="28C9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693F75A">
                  <w:pPr>
                    <w:jc w:val="center"/>
                    <w:rPr>
                      <w:rFonts w:ascii="宋体" w:hAnsi="宋体" w:eastAsia="宋体" w:cs="宋体"/>
                    </w:rPr>
                  </w:pPr>
                  <w:r>
                    <w:rPr>
                      <w:rFonts w:hint="eastAsia" w:ascii="宋体" w:hAnsi="宋体" w:eastAsia="宋体" w:cs="宋体"/>
                    </w:rPr>
                    <w:t>20</w:t>
                  </w:r>
                </w:p>
              </w:tc>
              <w:tc>
                <w:tcPr>
                  <w:tcW w:w="0" w:type="auto"/>
                </w:tcPr>
                <w:p w14:paraId="59AC50B0">
                  <w:pPr>
                    <w:jc w:val="center"/>
                    <w:rPr>
                      <w:rFonts w:ascii="宋体" w:hAnsi="宋体" w:eastAsia="宋体" w:cs="宋体"/>
                    </w:rPr>
                  </w:pPr>
                  <w:r>
                    <w:rPr>
                      <w:rFonts w:hint="eastAsia" w:ascii="宋体" w:hAnsi="宋体" w:eastAsia="宋体" w:cs="宋体"/>
                    </w:rPr>
                    <w:t>肉嫩度取样器</w:t>
                  </w:r>
                </w:p>
              </w:tc>
              <w:tc>
                <w:tcPr>
                  <w:tcW w:w="0" w:type="auto"/>
                  <w:shd w:val="clear" w:color="auto" w:fill="auto"/>
                  <w:vAlign w:val="center"/>
                </w:tcPr>
                <w:p w14:paraId="5A408152">
                  <w:pPr>
                    <w:jc w:val="center"/>
                    <w:rPr>
                      <w:rFonts w:ascii="宋体" w:hAnsi="宋体" w:eastAsia="宋体" w:cs="宋体"/>
                    </w:rPr>
                  </w:pPr>
                  <w:r>
                    <w:rPr>
                      <w:rFonts w:hint="eastAsia" w:ascii="宋体" w:hAnsi="宋体" w:eastAsia="宋体" w:cs="宋体"/>
                    </w:rPr>
                    <w:t>套</w:t>
                  </w:r>
                </w:p>
              </w:tc>
              <w:tc>
                <w:tcPr>
                  <w:tcW w:w="1566" w:type="dxa"/>
                  <w:shd w:val="clear" w:color="auto" w:fill="auto"/>
                  <w:vAlign w:val="center"/>
                </w:tcPr>
                <w:p w14:paraId="61DD269C">
                  <w:pPr>
                    <w:jc w:val="center"/>
                    <w:rPr>
                      <w:rFonts w:ascii="宋体" w:hAnsi="宋体" w:eastAsia="宋体" w:cs="宋体"/>
                    </w:rPr>
                  </w:pPr>
                  <w:r>
                    <w:rPr>
                      <w:rFonts w:hint="eastAsia" w:ascii="宋体" w:hAnsi="宋体" w:eastAsia="宋体" w:cs="宋体"/>
                    </w:rPr>
                    <w:t>1</w:t>
                  </w:r>
                </w:p>
              </w:tc>
            </w:tr>
            <w:tr w14:paraId="0A91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69CC821">
                  <w:pPr>
                    <w:jc w:val="center"/>
                    <w:rPr>
                      <w:rFonts w:ascii="宋体" w:hAnsi="宋体" w:eastAsia="宋体" w:cs="宋体"/>
                    </w:rPr>
                  </w:pPr>
                  <w:r>
                    <w:rPr>
                      <w:rFonts w:hint="eastAsia" w:ascii="宋体" w:hAnsi="宋体" w:eastAsia="宋体" w:cs="宋体"/>
                    </w:rPr>
                    <w:t>21</w:t>
                  </w:r>
                </w:p>
              </w:tc>
              <w:tc>
                <w:tcPr>
                  <w:tcW w:w="0" w:type="auto"/>
                </w:tcPr>
                <w:p w14:paraId="473F8EF4">
                  <w:pPr>
                    <w:jc w:val="center"/>
                    <w:rPr>
                      <w:rFonts w:ascii="宋体" w:hAnsi="宋体" w:eastAsia="宋体" w:cs="宋体"/>
                    </w:rPr>
                  </w:pPr>
                  <w:r>
                    <w:rPr>
                      <w:rFonts w:hint="eastAsia" w:ascii="宋体" w:hAnsi="宋体" w:eastAsia="宋体" w:cs="宋体"/>
                    </w:rPr>
                    <w:t>感官仿真</w:t>
                  </w:r>
                  <w:r>
                    <w:rPr>
                      <w:rFonts w:hint="eastAsia" w:ascii="宋体" w:hAnsi="宋体" w:eastAsia="宋体" w:cs="宋体"/>
                      <w:color w:val="auto"/>
                    </w:rPr>
                    <w:t>软件</w:t>
                  </w:r>
                  <w:r>
                    <w:rPr>
                      <w:rFonts w:hint="eastAsia"/>
                      <w:color w:val="auto"/>
                    </w:rPr>
                    <w:t>（可真实的在线模拟质构仪、电子鼻、电子舌等感官仪器的实验操作和数据采集处理）</w:t>
                  </w:r>
                </w:p>
              </w:tc>
              <w:tc>
                <w:tcPr>
                  <w:tcW w:w="0" w:type="auto"/>
                  <w:shd w:val="clear" w:color="auto" w:fill="auto"/>
                  <w:vAlign w:val="center"/>
                </w:tcPr>
                <w:p w14:paraId="26C2099A">
                  <w:pPr>
                    <w:jc w:val="center"/>
                    <w:rPr>
                      <w:rFonts w:ascii="宋体" w:hAnsi="宋体" w:eastAsia="宋体" w:cs="宋体"/>
                    </w:rPr>
                  </w:pPr>
                  <w:r>
                    <w:rPr>
                      <w:rFonts w:hint="eastAsia" w:ascii="宋体" w:hAnsi="宋体" w:eastAsia="宋体" w:cs="宋体"/>
                    </w:rPr>
                    <w:t>套</w:t>
                  </w:r>
                </w:p>
              </w:tc>
              <w:tc>
                <w:tcPr>
                  <w:tcW w:w="1566" w:type="dxa"/>
                  <w:shd w:val="clear" w:color="auto" w:fill="auto"/>
                  <w:vAlign w:val="center"/>
                </w:tcPr>
                <w:p w14:paraId="5E8CC4D5">
                  <w:pPr>
                    <w:jc w:val="center"/>
                    <w:rPr>
                      <w:rFonts w:ascii="宋体" w:hAnsi="宋体" w:eastAsia="宋体" w:cs="宋体"/>
                    </w:rPr>
                  </w:pPr>
                  <w:r>
                    <w:rPr>
                      <w:rFonts w:hint="eastAsia" w:ascii="宋体" w:hAnsi="宋体" w:eastAsia="宋体" w:cs="宋体"/>
                    </w:rPr>
                    <w:t>1</w:t>
                  </w:r>
                </w:p>
              </w:tc>
            </w:tr>
            <w:tr w14:paraId="4F8F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33D684D">
                  <w:pPr>
                    <w:jc w:val="center"/>
                    <w:rPr>
                      <w:rFonts w:ascii="宋体" w:hAnsi="宋体" w:eastAsia="宋体" w:cs="宋体"/>
                    </w:rPr>
                  </w:pPr>
                  <w:r>
                    <w:rPr>
                      <w:rFonts w:hint="eastAsia" w:ascii="宋体" w:hAnsi="宋体" w:eastAsia="宋体" w:cs="宋体"/>
                    </w:rPr>
                    <w:t>22</w:t>
                  </w:r>
                </w:p>
              </w:tc>
              <w:tc>
                <w:tcPr>
                  <w:tcW w:w="0" w:type="auto"/>
                </w:tcPr>
                <w:p w14:paraId="1BF1222B">
                  <w:pPr>
                    <w:jc w:val="center"/>
                    <w:rPr>
                      <w:rFonts w:ascii="宋体" w:hAnsi="宋体" w:eastAsia="宋体" w:cs="宋体"/>
                    </w:rPr>
                  </w:pPr>
                  <w:r>
                    <w:rPr>
                      <w:rFonts w:hint="eastAsia" w:ascii="宋体" w:hAnsi="宋体" w:eastAsia="宋体" w:cs="宋体"/>
                    </w:rPr>
                    <w:t>纸质版300种质构测试案例解析</w:t>
                  </w:r>
                </w:p>
              </w:tc>
              <w:tc>
                <w:tcPr>
                  <w:tcW w:w="0" w:type="auto"/>
                  <w:shd w:val="clear" w:color="auto" w:fill="auto"/>
                  <w:vAlign w:val="center"/>
                </w:tcPr>
                <w:p w14:paraId="3ED0BE74">
                  <w:pPr>
                    <w:jc w:val="center"/>
                    <w:rPr>
                      <w:rFonts w:ascii="宋体" w:hAnsi="宋体" w:eastAsia="宋体" w:cs="宋体"/>
                    </w:rPr>
                  </w:pPr>
                  <w:r>
                    <w:rPr>
                      <w:rFonts w:hint="eastAsia" w:ascii="宋体" w:hAnsi="宋体" w:eastAsia="宋体" w:cs="宋体"/>
                    </w:rPr>
                    <w:t>本</w:t>
                  </w:r>
                </w:p>
              </w:tc>
              <w:tc>
                <w:tcPr>
                  <w:tcW w:w="1566" w:type="dxa"/>
                  <w:shd w:val="clear" w:color="auto" w:fill="auto"/>
                  <w:vAlign w:val="center"/>
                </w:tcPr>
                <w:p w14:paraId="5F749F62">
                  <w:pPr>
                    <w:jc w:val="center"/>
                    <w:rPr>
                      <w:rFonts w:ascii="宋体" w:hAnsi="宋体" w:eastAsia="宋体" w:cs="宋体"/>
                    </w:rPr>
                  </w:pPr>
                  <w:r>
                    <w:rPr>
                      <w:rFonts w:hint="eastAsia" w:ascii="宋体" w:hAnsi="宋体" w:eastAsia="宋体" w:cs="宋体"/>
                    </w:rPr>
                    <w:t>1</w:t>
                  </w:r>
                </w:p>
              </w:tc>
            </w:tr>
            <w:tr w14:paraId="3399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EEB8F9C">
                  <w:pPr>
                    <w:jc w:val="center"/>
                    <w:rPr>
                      <w:rFonts w:ascii="宋体" w:hAnsi="宋体" w:eastAsia="宋体" w:cs="宋体"/>
                    </w:rPr>
                  </w:pPr>
                  <w:r>
                    <w:rPr>
                      <w:rFonts w:hint="eastAsia" w:ascii="宋体" w:hAnsi="宋体" w:eastAsia="宋体" w:cs="宋体"/>
                    </w:rPr>
                    <w:t>23</w:t>
                  </w:r>
                </w:p>
              </w:tc>
              <w:tc>
                <w:tcPr>
                  <w:tcW w:w="0" w:type="auto"/>
                </w:tcPr>
                <w:p w14:paraId="28C7385B">
                  <w:pPr>
                    <w:jc w:val="center"/>
                    <w:rPr>
                      <w:rFonts w:ascii="宋体" w:hAnsi="宋体" w:eastAsia="宋体" w:cs="宋体"/>
                    </w:rPr>
                  </w:pPr>
                  <w:r>
                    <w:rPr>
                      <w:rFonts w:hint="eastAsia" w:ascii="宋体" w:hAnsi="宋体" w:eastAsia="宋体" w:cs="宋体"/>
                    </w:rPr>
                    <w:t>备品配件包</w:t>
                  </w:r>
                </w:p>
              </w:tc>
              <w:tc>
                <w:tcPr>
                  <w:tcW w:w="0" w:type="auto"/>
                  <w:shd w:val="clear" w:color="auto" w:fill="auto"/>
                  <w:vAlign w:val="center"/>
                </w:tcPr>
                <w:p w14:paraId="75B6B7E7">
                  <w:pPr>
                    <w:jc w:val="center"/>
                    <w:rPr>
                      <w:rFonts w:ascii="宋体" w:hAnsi="宋体" w:eastAsia="宋体" w:cs="宋体"/>
                    </w:rPr>
                  </w:pPr>
                  <w:r>
                    <w:rPr>
                      <w:rFonts w:hint="eastAsia" w:ascii="宋体" w:hAnsi="宋体" w:eastAsia="宋体" w:cs="宋体"/>
                    </w:rPr>
                    <w:t>套</w:t>
                  </w:r>
                </w:p>
              </w:tc>
              <w:tc>
                <w:tcPr>
                  <w:tcW w:w="1566" w:type="dxa"/>
                  <w:vAlign w:val="center"/>
                </w:tcPr>
                <w:p w14:paraId="573E2AA6">
                  <w:pPr>
                    <w:jc w:val="center"/>
                    <w:rPr>
                      <w:rFonts w:ascii="宋体" w:hAnsi="宋体" w:eastAsia="宋体" w:cs="宋体"/>
                    </w:rPr>
                  </w:pPr>
                  <w:r>
                    <w:rPr>
                      <w:rFonts w:hint="eastAsia" w:ascii="宋体" w:hAnsi="宋体" w:eastAsia="宋体" w:cs="宋体"/>
                    </w:rPr>
                    <w:t>1</w:t>
                  </w:r>
                </w:p>
              </w:tc>
            </w:tr>
            <w:tr w14:paraId="7678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AA9EA3B">
                  <w:pPr>
                    <w:jc w:val="center"/>
                    <w:rPr>
                      <w:rFonts w:ascii="宋体" w:hAnsi="宋体" w:eastAsia="宋体" w:cs="宋体"/>
                    </w:rPr>
                  </w:pPr>
                  <w:r>
                    <w:rPr>
                      <w:rFonts w:hint="eastAsia" w:ascii="宋体" w:hAnsi="宋体" w:eastAsia="宋体" w:cs="宋体"/>
                    </w:rPr>
                    <w:t>24</w:t>
                  </w:r>
                </w:p>
              </w:tc>
              <w:tc>
                <w:tcPr>
                  <w:tcW w:w="0" w:type="auto"/>
                </w:tcPr>
                <w:p w14:paraId="6E508D6A">
                  <w:pPr>
                    <w:jc w:val="center"/>
                    <w:rPr>
                      <w:rFonts w:ascii="宋体" w:hAnsi="宋体" w:eastAsia="宋体" w:cs="宋体"/>
                    </w:rPr>
                  </w:pPr>
                  <w:r>
                    <w:rPr>
                      <w:rFonts w:hint="eastAsia" w:ascii="宋体" w:hAnsi="宋体" w:eastAsia="宋体" w:cs="宋体"/>
                    </w:rPr>
                    <w:t>操作手册</w:t>
                  </w:r>
                </w:p>
              </w:tc>
              <w:tc>
                <w:tcPr>
                  <w:tcW w:w="0" w:type="auto"/>
                  <w:shd w:val="clear" w:color="auto" w:fill="auto"/>
                  <w:vAlign w:val="center"/>
                </w:tcPr>
                <w:p w14:paraId="727EB4D7">
                  <w:pPr>
                    <w:jc w:val="center"/>
                    <w:rPr>
                      <w:rFonts w:ascii="宋体" w:hAnsi="宋体" w:eastAsia="宋体" w:cs="宋体"/>
                    </w:rPr>
                  </w:pPr>
                  <w:r>
                    <w:rPr>
                      <w:rFonts w:hint="eastAsia" w:ascii="宋体" w:hAnsi="宋体" w:eastAsia="宋体" w:cs="宋体"/>
                    </w:rPr>
                    <w:t>本</w:t>
                  </w:r>
                </w:p>
              </w:tc>
              <w:tc>
                <w:tcPr>
                  <w:tcW w:w="1566" w:type="dxa"/>
                  <w:vAlign w:val="center"/>
                </w:tcPr>
                <w:p w14:paraId="6E961FA4">
                  <w:pPr>
                    <w:jc w:val="center"/>
                    <w:rPr>
                      <w:rFonts w:ascii="宋体" w:hAnsi="宋体" w:eastAsia="宋体" w:cs="宋体"/>
                    </w:rPr>
                  </w:pPr>
                  <w:r>
                    <w:rPr>
                      <w:rFonts w:hint="eastAsia" w:ascii="宋体" w:hAnsi="宋体" w:eastAsia="宋体" w:cs="宋体"/>
                    </w:rPr>
                    <w:t>1</w:t>
                  </w:r>
                </w:p>
              </w:tc>
            </w:tr>
          </w:tbl>
          <w:p w14:paraId="0116BE8E">
            <w:pPr>
              <w:jc w:val="left"/>
              <w:rPr>
                <w:rFonts w:asciiTheme="minorEastAsia" w:hAnsiTheme="minorEastAsia"/>
                <w:szCs w:val="21"/>
              </w:rPr>
            </w:pPr>
          </w:p>
        </w:tc>
      </w:tr>
    </w:tbl>
    <w:p w14:paraId="6CB19250">
      <w:pPr>
        <w:rPr>
          <w:rFonts w:hint="eastAsia" w:asciiTheme="minorEastAsia" w:hAnsiTheme="minorEastAsia"/>
          <w:szCs w:val="21"/>
        </w:rPr>
      </w:pPr>
      <w:r>
        <w:rPr>
          <w:rFonts w:hint="eastAsia" w:asciiTheme="minorEastAsia" w:hAnsiTheme="minorEastAsia"/>
          <w:szCs w:val="21"/>
        </w:rPr>
        <w:br w:type="page"/>
      </w:r>
    </w:p>
    <w:p w14:paraId="673B3EE4">
      <w:pPr>
        <w:outlineLvl w:val="1"/>
        <w:rPr>
          <w:rFonts w:asciiTheme="minorEastAsia" w:hAnsiTheme="minorEastAsia"/>
          <w:szCs w:val="21"/>
          <w:u w:val="single"/>
        </w:rPr>
      </w:pPr>
      <w:r>
        <w:rPr>
          <w:rFonts w:hint="eastAsia" w:asciiTheme="minorEastAsia" w:hAnsiTheme="minorEastAsia"/>
          <w:szCs w:val="21"/>
        </w:rPr>
        <w:t>附表四：</w:t>
      </w:r>
      <w:r>
        <w:rPr>
          <w:rFonts w:hint="eastAsia" w:asciiTheme="minorEastAsia" w:hAnsiTheme="minorEastAsia"/>
          <w:b/>
          <w:bCs/>
          <w:szCs w:val="21"/>
        </w:rPr>
        <w:t>盐酸水解仪</w:t>
      </w:r>
      <w:r>
        <w:rPr>
          <w:rFonts w:hint="eastAsia" w:asciiTheme="minorEastAsia" w:hAnsiTheme="minorEastAsia"/>
          <w:szCs w:val="21"/>
        </w:rPr>
        <w:t xml:space="preserve">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771"/>
        <w:gridCol w:w="6770"/>
      </w:tblGrid>
      <w:tr w14:paraId="425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1FFC3A6C">
            <w:pPr>
              <w:jc w:val="center"/>
              <w:rPr>
                <w:rFonts w:asciiTheme="minorEastAsia" w:hAnsiTheme="minorEastAsia"/>
                <w:b/>
                <w:szCs w:val="21"/>
              </w:rPr>
            </w:pPr>
            <w:r>
              <w:rPr>
                <w:rFonts w:hint="eastAsia" w:asciiTheme="minorEastAsia" w:hAnsiTheme="minorEastAsia"/>
                <w:b/>
                <w:szCs w:val="21"/>
              </w:rPr>
              <w:t>参数性质</w:t>
            </w:r>
          </w:p>
        </w:tc>
        <w:tc>
          <w:tcPr>
            <w:tcW w:w="771" w:type="dxa"/>
          </w:tcPr>
          <w:p w14:paraId="1CBC5297">
            <w:pPr>
              <w:jc w:val="center"/>
              <w:rPr>
                <w:rFonts w:asciiTheme="minorEastAsia" w:hAnsiTheme="minorEastAsia"/>
                <w:b/>
                <w:szCs w:val="21"/>
              </w:rPr>
            </w:pPr>
            <w:r>
              <w:rPr>
                <w:rFonts w:hint="eastAsia" w:asciiTheme="minorEastAsia" w:hAnsiTheme="minorEastAsia"/>
                <w:b/>
                <w:szCs w:val="21"/>
              </w:rPr>
              <w:t>编号</w:t>
            </w:r>
          </w:p>
        </w:tc>
        <w:tc>
          <w:tcPr>
            <w:tcW w:w="6770" w:type="dxa"/>
          </w:tcPr>
          <w:p w14:paraId="0D7F7181">
            <w:pPr>
              <w:jc w:val="center"/>
              <w:rPr>
                <w:rFonts w:asciiTheme="minorEastAsia" w:hAnsiTheme="minorEastAsia"/>
                <w:b/>
                <w:szCs w:val="21"/>
              </w:rPr>
            </w:pPr>
            <w:r>
              <w:rPr>
                <w:rFonts w:hint="eastAsia" w:asciiTheme="minorEastAsia" w:hAnsiTheme="minorEastAsia"/>
                <w:b/>
                <w:szCs w:val="21"/>
              </w:rPr>
              <w:t>具体技术(参数)要求</w:t>
            </w:r>
          </w:p>
        </w:tc>
      </w:tr>
      <w:tr w14:paraId="2BBE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26A5F73A">
            <w:pPr>
              <w:jc w:val="center"/>
              <w:rPr>
                <w:rFonts w:asciiTheme="minorEastAsia" w:hAnsiTheme="minorEastAsia"/>
                <w:szCs w:val="21"/>
              </w:rPr>
            </w:pPr>
          </w:p>
        </w:tc>
        <w:tc>
          <w:tcPr>
            <w:tcW w:w="771" w:type="dxa"/>
          </w:tcPr>
          <w:p w14:paraId="6F0288AD">
            <w:pPr>
              <w:tabs>
                <w:tab w:val="left" w:pos="0"/>
              </w:tabs>
              <w:ind w:left="420" w:hanging="420"/>
              <w:jc w:val="center"/>
              <w:rPr>
                <w:rFonts w:asciiTheme="minorEastAsia" w:hAnsiTheme="minorEastAsia"/>
                <w:szCs w:val="21"/>
              </w:rPr>
            </w:pPr>
          </w:p>
        </w:tc>
        <w:tc>
          <w:tcPr>
            <w:tcW w:w="6770" w:type="dxa"/>
          </w:tcPr>
          <w:p w14:paraId="57F215ED">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一、用途</w:t>
            </w:r>
          </w:p>
          <w:p w14:paraId="271E5905">
            <w:pPr>
              <w:spacing w:line="360" w:lineRule="auto"/>
              <w:ind w:firstLine="420" w:firstLineChars="200"/>
              <w:rPr>
                <w:rFonts w:cs="仿宋" w:asciiTheme="minorEastAsia" w:hAnsiTheme="minorEastAsia"/>
                <w:szCs w:val="21"/>
                <w:lang w:bidi="ar"/>
              </w:rPr>
            </w:pPr>
            <w:r>
              <w:rPr>
                <w:iCs/>
              </w:rPr>
              <w:t>适用于饲料、</w:t>
            </w:r>
            <w:r>
              <w:rPr>
                <w:rFonts w:hint="eastAsia"/>
                <w:iCs/>
              </w:rPr>
              <w:t>肉等样品，</w:t>
            </w:r>
            <w:r>
              <w:rPr>
                <w:rFonts w:hint="eastAsia"/>
              </w:rPr>
              <w:t>将样品中的结合脂肪水解成游离态脂肪，用于样品中总脂肪测定的预处理。</w:t>
            </w:r>
          </w:p>
          <w:p w14:paraId="7F5CA2B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二、技术参数</w:t>
            </w:r>
          </w:p>
          <w:p w14:paraId="0D9817A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1、运用技术：过滤袋技术；</w:t>
            </w:r>
          </w:p>
          <w:p w14:paraId="77B9B5D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2、滤袋结构：三维结构；</w:t>
            </w:r>
          </w:p>
          <w:p w14:paraId="2B104335">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val="en-US" w:eastAsia="zh-CN" w:bidi="ar"/>
              </w:rPr>
              <w:t>▲</w:t>
            </w:r>
            <w:r>
              <w:rPr>
                <w:rFonts w:hint="eastAsia" w:cs="仿宋" w:asciiTheme="minorEastAsia" w:hAnsiTheme="minorEastAsia"/>
                <w:szCs w:val="21"/>
                <w:lang w:bidi="ar"/>
              </w:rPr>
              <w:t>3、滤袋孔隙</w:t>
            </w:r>
            <w:r>
              <w:rPr>
                <w:rFonts w:hint="eastAsia" w:ascii="宋体" w:hAnsi="宋体" w:eastAsia="宋体" w:cs="宋体"/>
                <w:sz w:val="21"/>
                <w:szCs w:val="21"/>
                <w:lang w:bidi="ar"/>
              </w:rPr>
              <w:t>：</w:t>
            </w:r>
            <w:r>
              <w:rPr>
                <w:rFonts w:hint="eastAsia" w:ascii="宋体" w:hAnsi="宋体" w:eastAsia="宋体" w:cs="宋体"/>
                <w:sz w:val="21"/>
                <w:szCs w:val="21"/>
              </w:rPr>
              <w:t>≤3μm</w:t>
            </w:r>
            <w:r>
              <w:rPr>
                <w:rFonts w:hint="eastAsia" w:ascii="宋体" w:hAnsi="宋体" w:eastAsia="宋体" w:cs="宋体"/>
                <w:sz w:val="21"/>
                <w:szCs w:val="21"/>
                <w:lang w:bidi="ar"/>
              </w:rPr>
              <w:t>；</w:t>
            </w:r>
            <w:r>
              <w:rPr>
                <w:rFonts w:hint="eastAsia" w:ascii="宋体" w:hAnsi="宋体" w:eastAsia="宋体" w:cs="宋体"/>
                <w:szCs w:val="21"/>
                <w:lang w:bidi="ar"/>
              </w:rPr>
              <w:t>（提</w:t>
            </w:r>
            <w:r>
              <w:rPr>
                <w:rFonts w:hint="eastAsia" w:cs="仿宋" w:asciiTheme="minorEastAsia" w:hAnsiTheme="minorEastAsia"/>
                <w:szCs w:val="21"/>
                <w:lang w:bidi="ar"/>
              </w:rPr>
              <w:t>供产品彩页</w:t>
            </w:r>
            <w:r>
              <w:rPr>
                <w:rFonts w:hint="eastAsia"/>
              </w:rPr>
              <w:t>，并用醒目的方式进行标记</w:t>
            </w:r>
            <w:r>
              <w:rPr>
                <w:rFonts w:hint="eastAsia" w:cs="仿宋" w:asciiTheme="minorEastAsia" w:hAnsiTheme="minorEastAsia"/>
                <w:szCs w:val="21"/>
                <w:lang w:bidi="ar"/>
              </w:rPr>
              <w:t>）</w:t>
            </w:r>
          </w:p>
          <w:p w14:paraId="28AE45FE">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val="en-US" w:eastAsia="zh-CN" w:bidi="ar"/>
              </w:rPr>
              <w:t>▲</w:t>
            </w:r>
            <w:r>
              <w:rPr>
                <w:rFonts w:hint="eastAsia" w:cs="仿宋" w:asciiTheme="minorEastAsia" w:hAnsiTheme="minorEastAsia"/>
                <w:szCs w:val="21"/>
                <w:lang w:bidi="ar"/>
              </w:rPr>
              <w:t>4、智能化程度：通过可编程电脑，控制器控制驱动装置完成样品水解全过程的自动操作（含加热，水解，漂洗，自动排液等操作）；（提供产品彩页</w:t>
            </w:r>
            <w:r>
              <w:rPr>
                <w:rFonts w:hint="eastAsia"/>
              </w:rPr>
              <w:t>，并用醒目的方式进行标记</w:t>
            </w:r>
            <w:r>
              <w:rPr>
                <w:rFonts w:hint="eastAsia" w:cs="仿宋" w:asciiTheme="minorEastAsia" w:hAnsiTheme="minorEastAsia"/>
                <w:szCs w:val="21"/>
                <w:lang w:bidi="ar"/>
              </w:rPr>
              <w:t>）</w:t>
            </w:r>
          </w:p>
          <w:p w14:paraId="4B1DCAB8">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5、一次样品量范围至少涵盖：1～3g；</w:t>
            </w:r>
          </w:p>
          <w:p w14:paraId="5CC8B0F0">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val="en-US" w:eastAsia="zh-CN" w:bidi="ar"/>
              </w:rPr>
              <w:t>▲</w:t>
            </w:r>
            <w:r>
              <w:rPr>
                <w:rFonts w:hint="eastAsia" w:cs="仿宋" w:asciiTheme="minorEastAsia" w:hAnsiTheme="minorEastAsia"/>
                <w:szCs w:val="21"/>
                <w:lang w:bidi="ar"/>
              </w:rPr>
              <w:t>6、最大批处理量：</w:t>
            </w:r>
            <w:r>
              <w:rPr>
                <w:rFonts w:hint="eastAsia" w:cs="仿宋" w:asciiTheme="minorEastAsia" w:hAnsiTheme="minorEastAsia"/>
                <w:szCs w:val="21"/>
                <w:lang w:val="en-US" w:eastAsia="zh-CN" w:bidi="ar"/>
              </w:rPr>
              <w:t>≥6个</w:t>
            </w:r>
            <w:r>
              <w:rPr>
                <w:rFonts w:hint="eastAsia" w:cs="仿宋" w:asciiTheme="minorEastAsia" w:hAnsiTheme="minorEastAsia"/>
                <w:szCs w:val="21"/>
                <w:lang w:bidi="ar"/>
              </w:rPr>
              <w:t>；（提供产品彩页</w:t>
            </w:r>
            <w:r>
              <w:rPr>
                <w:rFonts w:hint="eastAsia"/>
              </w:rPr>
              <w:t>，并用醒目的方式进行标记</w:t>
            </w:r>
            <w:r>
              <w:rPr>
                <w:rFonts w:hint="eastAsia" w:cs="仿宋" w:asciiTheme="minorEastAsia" w:hAnsiTheme="minorEastAsia"/>
                <w:szCs w:val="21"/>
                <w:lang w:bidi="ar"/>
              </w:rPr>
              <w:t>）</w:t>
            </w:r>
          </w:p>
          <w:p w14:paraId="36E3A2F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7、日处理量：90个（按每天8小时工作时长计算）；</w:t>
            </w:r>
          </w:p>
          <w:p w14:paraId="3E89DDC1">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8、批处理耗时：</w:t>
            </w:r>
            <w:r>
              <w:rPr>
                <w:rFonts w:hint="eastAsia"/>
              </w:rPr>
              <w:t>≤90min</w:t>
            </w:r>
            <w:r>
              <w:rPr>
                <w:rFonts w:hint="eastAsia" w:cs="仿宋" w:asciiTheme="minorEastAsia" w:hAnsiTheme="minorEastAsia"/>
                <w:szCs w:val="21"/>
                <w:lang w:bidi="ar"/>
              </w:rPr>
              <w:t>（不包含干燥时间）；</w:t>
            </w:r>
          </w:p>
          <w:p w14:paraId="0923F9AB">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9、温度范围至少涵盖：室温～90℃；</w:t>
            </w:r>
          </w:p>
          <w:p w14:paraId="0F062AC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10、控温精度：±1℃；</w:t>
            </w:r>
          </w:p>
          <w:p w14:paraId="3B9545B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11、结果标准差：≤1%；</w:t>
            </w:r>
          </w:p>
          <w:p w14:paraId="26167E7D">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12、安全性能：合金缸体，惰性材料，密闭环境，脱手工作；</w:t>
            </w:r>
          </w:p>
          <w:p w14:paraId="4A14F38E">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val="en-US" w:eastAsia="zh-CN" w:bidi="ar"/>
              </w:rPr>
              <w:t>▲</w:t>
            </w:r>
            <w:r>
              <w:rPr>
                <w:rFonts w:hint="eastAsia" w:cs="仿宋" w:asciiTheme="minorEastAsia" w:hAnsiTheme="minorEastAsia"/>
                <w:szCs w:val="21"/>
                <w:lang w:bidi="ar"/>
              </w:rPr>
              <w:t>13、环境保护情况：水解系统主机无需通风厨，满足普通标准实验室的环境保护情况；（</w:t>
            </w:r>
            <w:r>
              <w:rPr>
                <w:rFonts w:hint="eastAsia"/>
              </w:rPr>
              <w:t>提供承诺函或者客户实验室图片）</w:t>
            </w:r>
          </w:p>
          <w:p w14:paraId="4103D39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14、仪器主要用材：耐高温、高腐蚀加厚合金钢；</w:t>
            </w:r>
          </w:p>
          <w:p w14:paraId="0A99646B">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15、产品</w:t>
            </w:r>
            <w:r>
              <w:rPr>
                <w:rFonts w:hint="eastAsia"/>
              </w:rPr>
              <w:t>可与</w:t>
            </w:r>
            <w:r>
              <w:rPr>
                <w:rFonts w:hint="eastAsia"/>
                <w:lang w:val="en-US" w:eastAsia="zh-CN"/>
              </w:rPr>
              <w:t>现有</w:t>
            </w:r>
            <w:r>
              <w:rPr>
                <w:rFonts w:hint="eastAsia" w:ascii="宋体" w:hAnsi="宋体" w:eastAsia="宋体" w:cs="宋体"/>
                <w:i w:val="0"/>
                <w:iCs w:val="0"/>
                <w:caps w:val="0"/>
                <w:color w:val="auto"/>
                <w:spacing w:val="0"/>
                <w:sz w:val="21"/>
                <w:szCs w:val="22"/>
                <w:u w:val="none"/>
                <w:shd w:val="clear" w:fill="auto"/>
              </w:rPr>
              <w:fldChar w:fldCharType="begin"/>
            </w:r>
            <w:r>
              <w:rPr>
                <w:rFonts w:hint="eastAsia" w:ascii="宋体" w:hAnsi="宋体" w:eastAsia="宋体" w:cs="宋体"/>
                <w:i w:val="0"/>
                <w:iCs w:val="0"/>
                <w:caps w:val="0"/>
                <w:color w:val="auto"/>
                <w:spacing w:val="0"/>
                <w:sz w:val="21"/>
                <w:szCs w:val="22"/>
                <w:u w:val="none"/>
                <w:shd w:val="clear" w:fill="auto"/>
              </w:rPr>
              <w:instrText xml:space="preserve"> HYPERLINK "http://www.huanyangkj.com/Products-36360515.html" </w:instrText>
            </w:r>
            <w:r>
              <w:rPr>
                <w:rFonts w:hint="eastAsia" w:ascii="宋体" w:hAnsi="宋体" w:eastAsia="宋体" w:cs="宋体"/>
                <w:i w:val="0"/>
                <w:iCs w:val="0"/>
                <w:caps w:val="0"/>
                <w:color w:val="auto"/>
                <w:spacing w:val="0"/>
                <w:sz w:val="21"/>
                <w:szCs w:val="22"/>
                <w:u w:val="none"/>
                <w:shd w:val="clear" w:fill="auto"/>
              </w:rPr>
              <w:fldChar w:fldCharType="separate"/>
            </w:r>
            <w:r>
              <w:rPr>
                <w:rStyle w:val="13"/>
                <w:rFonts w:hint="eastAsia" w:ascii="宋体" w:hAnsi="宋体" w:eastAsia="宋体" w:cs="宋体"/>
                <w:i w:val="0"/>
                <w:iCs w:val="0"/>
                <w:caps w:val="0"/>
                <w:color w:val="auto"/>
                <w:spacing w:val="0"/>
                <w:sz w:val="21"/>
                <w:szCs w:val="22"/>
                <w:u w:val="none"/>
                <w:shd w:val="clear" w:fill="FFFFFF"/>
              </w:rPr>
              <w:t>XT4</w:t>
            </w:r>
            <w:r>
              <w:rPr>
                <w:rFonts w:hint="eastAsia" w:ascii="宋体" w:hAnsi="宋体" w:eastAsia="宋体" w:cs="宋体"/>
                <w:i w:val="0"/>
                <w:iCs w:val="0"/>
                <w:caps w:val="0"/>
                <w:color w:val="auto"/>
                <w:spacing w:val="0"/>
                <w:sz w:val="21"/>
                <w:szCs w:val="22"/>
                <w:u w:val="none"/>
                <w:shd w:val="clear" w:fill="auto"/>
              </w:rPr>
              <w:fldChar w:fldCharType="end"/>
            </w:r>
            <w:r>
              <w:rPr>
                <w:rFonts w:hint="eastAsia"/>
                <w:lang w:val="en-US" w:eastAsia="zh-CN"/>
              </w:rPr>
              <w:t>滤袋（≤3</w:t>
            </w:r>
            <w:r>
              <w:rPr>
                <w:rFonts w:hint="eastAsia" w:ascii="宋体" w:hAnsi="宋体" w:eastAsia="宋体" w:cs="宋体"/>
                <w:sz w:val="21"/>
                <w:szCs w:val="21"/>
              </w:rPr>
              <w:t>μm</w:t>
            </w:r>
            <w:r>
              <w:rPr>
                <w:rFonts w:hint="eastAsia"/>
                <w:lang w:val="en-US" w:eastAsia="zh-CN"/>
              </w:rPr>
              <w:t>孔隙的三维结构脂肪滤袋）</w:t>
            </w:r>
            <w:r>
              <w:rPr>
                <w:rFonts w:hint="eastAsia"/>
              </w:rPr>
              <w:t>配套使用</w:t>
            </w:r>
            <w:r>
              <w:rPr>
                <w:rFonts w:hint="eastAsia" w:cs="仿宋" w:asciiTheme="minorEastAsia" w:hAnsiTheme="minorEastAsia"/>
                <w:szCs w:val="21"/>
                <w:lang w:bidi="ar"/>
              </w:rPr>
              <w:t>。</w:t>
            </w:r>
          </w:p>
          <w:p w14:paraId="53CF7F92">
            <w:pPr>
              <w:spacing w:line="360" w:lineRule="auto"/>
              <w:ind w:firstLine="420" w:firstLineChars="200"/>
              <w:rPr>
                <w:rFonts w:hint="eastAsia" w:cs="仿宋" w:asciiTheme="minorEastAsia" w:hAnsiTheme="minorEastAsia"/>
                <w:color w:val="auto"/>
                <w:szCs w:val="21"/>
                <w:lang w:bidi="ar"/>
              </w:rPr>
            </w:pPr>
            <w:r>
              <w:rPr>
                <w:rFonts w:hint="eastAsia" w:cs="仿宋" w:asciiTheme="minorEastAsia" w:hAnsiTheme="minorEastAsia"/>
                <w:color w:val="auto"/>
                <w:szCs w:val="21"/>
                <w:lang w:val="en-US" w:eastAsia="zh-CN" w:bidi="ar"/>
              </w:rPr>
              <w:t>16、</w:t>
            </w:r>
            <w:r>
              <w:rPr>
                <w:rFonts w:hint="eastAsia" w:cs="仿宋" w:asciiTheme="minorEastAsia" w:hAnsiTheme="minorEastAsia"/>
                <w:color w:val="auto"/>
                <w:szCs w:val="21"/>
                <w:lang w:bidi="ar"/>
              </w:rPr>
              <w:t>售后服务及培训</w:t>
            </w:r>
          </w:p>
          <w:p w14:paraId="54CBE844">
            <w:pPr>
              <w:spacing w:line="360" w:lineRule="auto"/>
              <w:ind w:firstLine="420" w:firstLineChars="200"/>
              <w:rPr>
                <w:rFonts w:hint="eastAsia" w:cs="仿宋" w:asciiTheme="minorEastAsia" w:hAnsiTheme="minorEastAsia" w:eastAsiaTheme="minorEastAsia"/>
                <w:color w:val="FF0000"/>
                <w:szCs w:val="21"/>
                <w:lang w:eastAsia="zh-CN" w:bidi="ar"/>
              </w:rPr>
            </w:pPr>
            <w:r>
              <w:rPr>
                <w:rFonts w:hint="eastAsia" w:cs="仿宋" w:asciiTheme="minorEastAsia" w:hAnsiTheme="minorEastAsia"/>
                <w:color w:val="auto"/>
                <w:szCs w:val="21"/>
                <w:lang w:val="en-US" w:eastAsia="zh-CN" w:bidi="ar"/>
              </w:rPr>
              <w:t>16.1</w:t>
            </w:r>
            <w:r>
              <w:rPr>
                <w:rFonts w:hint="eastAsia"/>
                <w:color w:val="auto"/>
                <w:lang w:val="en-US" w:eastAsia="zh-CN"/>
              </w:rPr>
              <w:t>厂家培训的工程师</w:t>
            </w:r>
            <w:r>
              <w:rPr>
                <w:rFonts w:hint="eastAsia" w:cs="仿宋" w:asciiTheme="minorEastAsia" w:hAnsiTheme="minorEastAsia"/>
                <w:color w:val="auto"/>
                <w:szCs w:val="21"/>
                <w:lang w:bidi="ar"/>
              </w:rPr>
              <w:t>到现场免费培训2人直至完全能独立操作安装调试经用户验收当天起</w:t>
            </w:r>
            <w:r>
              <w:rPr>
                <w:rFonts w:hint="eastAsia" w:cs="仿宋" w:asciiTheme="minorEastAsia" w:hAnsiTheme="minorEastAsia"/>
                <w:color w:val="auto"/>
                <w:szCs w:val="21"/>
                <w:lang w:eastAsia="zh-CN" w:bidi="ar"/>
              </w:rPr>
              <w:t>，</w:t>
            </w:r>
            <w:r>
              <w:rPr>
                <w:rFonts w:hint="eastAsia" w:cs="仿宋" w:asciiTheme="minorEastAsia" w:hAnsiTheme="minorEastAsia"/>
                <w:color w:val="auto"/>
                <w:szCs w:val="21"/>
                <w:lang w:bidi="ar"/>
              </w:rPr>
              <w:t>质量保证期一年</w:t>
            </w:r>
            <w:r>
              <w:rPr>
                <w:rFonts w:hint="eastAsia" w:cs="仿宋" w:asciiTheme="minorEastAsia" w:hAnsiTheme="minorEastAsia"/>
                <w:color w:val="auto"/>
                <w:szCs w:val="21"/>
                <w:lang w:eastAsia="zh-CN" w:bidi="ar"/>
              </w:rPr>
              <w:t>。</w:t>
            </w:r>
          </w:p>
          <w:p w14:paraId="2652EA84">
            <w:pPr>
              <w:pStyle w:val="17"/>
              <w:ind w:firstLine="210" w:firstLineChars="100"/>
              <w:jc w:val="both"/>
              <w:rPr>
                <w:rFonts w:hint="default"/>
                <w:sz w:val="21"/>
                <w:szCs w:val="21"/>
              </w:rPr>
            </w:pPr>
            <w:r>
              <w:rPr>
                <w:sz w:val="21"/>
                <w:szCs w:val="21"/>
              </w:rPr>
              <w:t>三、配置清单</w:t>
            </w:r>
          </w:p>
          <w:tbl>
            <w:tblPr>
              <w:tblStyle w:val="11"/>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342"/>
              <w:gridCol w:w="1118"/>
              <w:gridCol w:w="1400"/>
            </w:tblGrid>
            <w:tr w14:paraId="06A4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tcPr>
                <w:p w14:paraId="74ACCF45">
                  <w:pPr>
                    <w:pStyle w:val="17"/>
                    <w:jc w:val="center"/>
                    <w:rPr>
                      <w:rFonts w:hint="default" w:ascii="宋体" w:hAnsi="宋体" w:eastAsia="宋体" w:cs="宋体"/>
                      <w:sz w:val="21"/>
                      <w:szCs w:val="21"/>
                    </w:rPr>
                  </w:pPr>
                  <w:r>
                    <w:rPr>
                      <w:rFonts w:ascii="宋体" w:hAnsi="宋体" w:eastAsia="宋体" w:cs="宋体"/>
                      <w:sz w:val="21"/>
                      <w:szCs w:val="21"/>
                    </w:rPr>
                    <w:t>序号</w:t>
                  </w:r>
                </w:p>
              </w:tc>
              <w:tc>
                <w:tcPr>
                  <w:tcW w:w="2342" w:type="dxa"/>
                  <w:tcMar>
                    <w:top w:w="0" w:type="dxa"/>
                    <w:left w:w="105" w:type="dxa"/>
                    <w:bottom w:w="0" w:type="dxa"/>
                    <w:right w:w="105" w:type="dxa"/>
                  </w:tcMar>
                </w:tcPr>
                <w:p w14:paraId="150FA6E6">
                  <w:pPr>
                    <w:pStyle w:val="17"/>
                    <w:jc w:val="center"/>
                    <w:rPr>
                      <w:rFonts w:hint="default" w:ascii="宋体" w:hAnsi="宋体" w:eastAsia="宋体" w:cs="宋体"/>
                      <w:sz w:val="21"/>
                      <w:szCs w:val="21"/>
                    </w:rPr>
                  </w:pPr>
                  <w:r>
                    <w:rPr>
                      <w:rFonts w:ascii="宋体" w:hAnsi="宋体" w:eastAsia="宋体" w:cs="宋体"/>
                      <w:sz w:val="21"/>
                      <w:szCs w:val="21"/>
                    </w:rPr>
                    <w:t>配置名称</w:t>
                  </w:r>
                </w:p>
              </w:tc>
              <w:tc>
                <w:tcPr>
                  <w:tcW w:w="1118" w:type="dxa"/>
                  <w:tcMar>
                    <w:top w:w="0" w:type="dxa"/>
                    <w:left w:w="105" w:type="dxa"/>
                    <w:bottom w:w="0" w:type="dxa"/>
                    <w:right w:w="105" w:type="dxa"/>
                  </w:tcMar>
                </w:tcPr>
                <w:p w14:paraId="00FE6042">
                  <w:pPr>
                    <w:pStyle w:val="17"/>
                    <w:jc w:val="center"/>
                    <w:rPr>
                      <w:rFonts w:hint="default" w:ascii="宋体" w:hAnsi="宋体" w:eastAsia="宋体" w:cs="宋体"/>
                      <w:sz w:val="21"/>
                      <w:szCs w:val="21"/>
                    </w:rPr>
                  </w:pPr>
                  <w:r>
                    <w:rPr>
                      <w:rFonts w:ascii="宋体" w:hAnsi="宋体" w:eastAsia="宋体" w:cs="宋体"/>
                      <w:sz w:val="21"/>
                      <w:szCs w:val="21"/>
                    </w:rPr>
                    <w:t>单位</w:t>
                  </w:r>
                </w:p>
              </w:tc>
              <w:tc>
                <w:tcPr>
                  <w:tcW w:w="1400" w:type="dxa"/>
                  <w:tcMar>
                    <w:top w:w="0" w:type="dxa"/>
                    <w:left w:w="105" w:type="dxa"/>
                    <w:bottom w:w="0" w:type="dxa"/>
                    <w:right w:w="105" w:type="dxa"/>
                  </w:tcMar>
                </w:tcPr>
                <w:p w14:paraId="6242A502">
                  <w:pPr>
                    <w:pStyle w:val="17"/>
                    <w:jc w:val="center"/>
                    <w:rPr>
                      <w:rFonts w:hint="default" w:ascii="宋体" w:hAnsi="宋体" w:eastAsia="宋体" w:cs="宋体"/>
                      <w:sz w:val="21"/>
                      <w:szCs w:val="21"/>
                    </w:rPr>
                  </w:pPr>
                  <w:r>
                    <w:rPr>
                      <w:rFonts w:ascii="宋体" w:hAnsi="宋体" w:eastAsia="宋体" w:cs="宋体"/>
                      <w:sz w:val="21"/>
                      <w:szCs w:val="21"/>
                    </w:rPr>
                    <w:t>数量</w:t>
                  </w:r>
                </w:p>
              </w:tc>
            </w:tr>
            <w:tr w14:paraId="4982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tcPr>
                <w:p w14:paraId="60DC9C1E">
                  <w:pPr>
                    <w:pStyle w:val="17"/>
                    <w:jc w:val="center"/>
                    <w:rPr>
                      <w:rFonts w:hint="default" w:ascii="宋体" w:hAnsi="宋体" w:eastAsia="宋体" w:cs="宋体"/>
                      <w:sz w:val="21"/>
                      <w:szCs w:val="21"/>
                    </w:rPr>
                  </w:pPr>
                  <w:r>
                    <w:rPr>
                      <w:rFonts w:ascii="宋体" w:hAnsi="宋体" w:eastAsia="宋体" w:cs="宋体"/>
                      <w:sz w:val="21"/>
                      <w:szCs w:val="21"/>
                    </w:rPr>
                    <w:t>1</w:t>
                  </w:r>
                </w:p>
              </w:tc>
              <w:tc>
                <w:tcPr>
                  <w:tcW w:w="2342" w:type="dxa"/>
                  <w:tcMar>
                    <w:top w:w="0" w:type="dxa"/>
                    <w:left w:w="105" w:type="dxa"/>
                    <w:bottom w:w="0" w:type="dxa"/>
                    <w:right w:w="105" w:type="dxa"/>
                  </w:tcMar>
                  <w:vAlign w:val="center"/>
                </w:tcPr>
                <w:p w14:paraId="03B0D715">
                  <w:pPr>
                    <w:widowControl/>
                    <w:jc w:val="center"/>
                    <w:textAlignment w:val="center"/>
                    <w:rPr>
                      <w:rFonts w:ascii="宋体" w:hAnsi="宋体" w:eastAsia="宋体" w:cs="宋体"/>
                      <w:szCs w:val="21"/>
                    </w:rPr>
                  </w:pPr>
                  <w:r>
                    <w:rPr>
                      <w:rFonts w:hint="eastAsia"/>
                      <w:szCs w:val="21"/>
                    </w:rPr>
                    <w:t>自动盐酸水解仪</w:t>
                  </w:r>
                  <w:r>
                    <w:rPr>
                      <w:szCs w:val="21"/>
                    </w:rPr>
                    <w:t>主机</w:t>
                  </w:r>
                </w:p>
              </w:tc>
              <w:tc>
                <w:tcPr>
                  <w:tcW w:w="1118" w:type="dxa"/>
                  <w:tcMar>
                    <w:top w:w="0" w:type="dxa"/>
                    <w:left w:w="105" w:type="dxa"/>
                    <w:bottom w:w="0" w:type="dxa"/>
                    <w:right w:w="105" w:type="dxa"/>
                  </w:tcMar>
                </w:tcPr>
                <w:p w14:paraId="1E8E5BBC">
                  <w:pPr>
                    <w:jc w:val="center"/>
                    <w:rPr>
                      <w:rFonts w:ascii="宋体" w:hAnsi="宋体" w:eastAsia="宋体" w:cs="宋体"/>
                      <w:szCs w:val="21"/>
                    </w:rPr>
                  </w:pPr>
                  <w:r>
                    <w:rPr>
                      <w:rFonts w:hint="eastAsia" w:ascii="宋体" w:hAnsi="宋体" w:eastAsia="宋体" w:cs="宋体"/>
                      <w:szCs w:val="21"/>
                    </w:rPr>
                    <w:t>台</w:t>
                  </w:r>
                </w:p>
              </w:tc>
              <w:tc>
                <w:tcPr>
                  <w:tcW w:w="1400" w:type="dxa"/>
                  <w:tcMar>
                    <w:top w:w="0" w:type="dxa"/>
                    <w:left w:w="105" w:type="dxa"/>
                    <w:bottom w:w="0" w:type="dxa"/>
                    <w:right w:w="105" w:type="dxa"/>
                  </w:tcMar>
                </w:tcPr>
                <w:p w14:paraId="2DA22E40">
                  <w:pPr>
                    <w:jc w:val="center"/>
                    <w:rPr>
                      <w:rFonts w:ascii="宋体" w:hAnsi="宋体" w:eastAsia="宋体" w:cs="宋体"/>
                      <w:szCs w:val="21"/>
                    </w:rPr>
                  </w:pPr>
                  <w:r>
                    <w:rPr>
                      <w:rFonts w:hint="eastAsia" w:ascii="宋体" w:hAnsi="宋体" w:eastAsia="宋体" w:cs="宋体"/>
                      <w:szCs w:val="21"/>
                    </w:rPr>
                    <w:t>1</w:t>
                  </w:r>
                </w:p>
              </w:tc>
            </w:tr>
          </w:tbl>
          <w:p w14:paraId="634BBD09">
            <w:pPr>
              <w:jc w:val="left"/>
              <w:rPr>
                <w:rFonts w:asciiTheme="minorEastAsia" w:hAnsiTheme="minorEastAsia"/>
                <w:szCs w:val="21"/>
              </w:rPr>
            </w:pPr>
          </w:p>
        </w:tc>
      </w:tr>
    </w:tbl>
    <w:p w14:paraId="4932F96D">
      <w:pPr>
        <w:rPr>
          <w:rFonts w:hint="eastAsia" w:asciiTheme="minorEastAsia" w:hAnsiTheme="minorEastAsia"/>
          <w:szCs w:val="21"/>
        </w:rPr>
      </w:pPr>
      <w:r>
        <w:rPr>
          <w:rFonts w:hint="eastAsia" w:asciiTheme="minorEastAsia" w:hAnsiTheme="minorEastAsia"/>
          <w:szCs w:val="21"/>
        </w:rPr>
        <w:br w:type="page"/>
      </w:r>
    </w:p>
    <w:p w14:paraId="466650C7">
      <w:pPr>
        <w:outlineLvl w:val="1"/>
        <w:rPr>
          <w:rFonts w:asciiTheme="minorEastAsia" w:hAnsiTheme="minorEastAsia"/>
          <w:szCs w:val="21"/>
          <w:u w:val="single"/>
        </w:rPr>
      </w:pPr>
      <w:r>
        <w:rPr>
          <w:rFonts w:hint="eastAsia" w:asciiTheme="minorEastAsia" w:hAnsiTheme="minorEastAsia"/>
          <w:szCs w:val="21"/>
        </w:rPr>
        <w:t xml:space="preserve">附表五：全自动形态碳总氮分析仪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846"/>
        <w:gridCol w:w="6695"/>
      </w:tblGrid>
      <w:tr w14:paraId="7C6B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67" w:type="dxa"/>
          </w:tcPr>
          <w:p w14:paraId="0135AFFA">
            <w:pPr>
              <w:jc w:val="center"/>
              <w:rPr>
                <w:rFonts w:asciiTheme="minorEastAsia" w:hAnsiTheme="minorEastAsia"/>
                <w:b/>
                <w:szCs w:val="21"/>
              </w:rPr>
            </w:pPr>
            <w:r>
              <w:rPr>
                <w:rFonts w:hint="eastAsia" w:asciiTheme="minorEastAsia" w:hAnsiTheme="minorEastAsia"/>
                <w:b/>
                <w:szCs w:val="21"/>
              </w:rPr>
              <w:t>参数性质</w:t>
            </w:r>
          </w:p>
        </w:tc>
        <w:tc>
          <w:tcPr>
            <w:tcW w:w="846" w:type="dxa"/>
          </w:tcPr>
          <w:p w14:paraId="2026AF63">
            <w:pPr>
              <w:jc w:val="center"/>
              <w:rPr>
                <w:rFonts w:asciiTheme="minorEastAsia" w:hAnsiTheme="minorEastAsia"/>
                <w:b/>
                <w:szCs w:val="21"/>
              </w:rPr>
            </w:pPr>
            <w:r>
              <w:rPr>
                <w:rFonts w:hint="eastAsia" w:asciiTheme="minorEastAsia" w:hAnsiTheme="minorEastAsia"/>
                <w:b/>
                <w:szCs w:val="21"/>
              </w:rPr>
              <w:t>编号</w:t>
            </w:r>
          </w:p>
        </w:tc>
        <w:tc>
          <w:tcPr>
            <w:tcW w:w="6695" w:type="dxa"/>
          </w:tcPr>
          <w:p w14:paraId="0211E465">
            <w:pPr>
              <w:jc w:val="center"/>
              <w:rPr>
                <w:rFonts w:asciiTheme="minorEastAsia" w:hAnsiTheme="minorEastAsia"/>
                <w:b/>
                <w:szCs w:val="21"/>
              </w:rPr>
            </w:pPr>
            <w:r>
              <w:rPr>
                <w:rFonts w:hint="eastAsia" w:asciiTheme="minorEastAsia" w:hAnsiTheme="minorEastAsia"/>
                <w:b/>
                <w:szCs w:val="21"/>
              </w:rPr>
              <w:t>具体技术(参数)要求</w:t>
            </w:r>
          </w:p>
        </w:tc>
      </w:tr>
      <w:tr w14:paraId="532F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59D080B5">
            <w:pPr>
              <w:jc w:val="center"/>
              <w:rPr>
                <w:rFonts w:asciiTheme="minorEastAsia" w:hAnsiTheme="minorEastAsia"/>
                <w:szCs w:val="21"/>
              </w:rPr>
            </w:pPr>
          </w:p>
        </w:tc>
        <w:tc>
          <w:tcPr>
            <w:tcW w:w="846" w:type="dxa"/>
          </w:tcPr>
          <w:p w14:paraId="0CC120AD">
            <w:pPr>
              <w:tabs>
                <w:tab w:val="left" w:pos="0"/>
              </w:tabs>
              <w:ind w:left="420" w:hanging="420"/>
              <w:jc w:val="center"/>
              <w:rPr>
                <w:rFonts w:asciiTheme="minorEastAsia" w:hAnsiTheme="minorEastAsia"/>
                <w:szCs w:val="21"/>
              </w:rPr>
            </w:pPr>
          </w:p>
        </w:tc>
        <w:tc>
          <w:tcPr>
            <w:tcW w:w="6695" w:type="dxa"/>
          </w:tcPr>
          <w:p w14:paraId="4A288004">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一、用途</w:t>
            </w:r>
          </w:p>
          <w:p w14:paraId="5CF55661">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本项目拟建设“全自动形态碳总氮分析仪”，主要用于饲料、肉类、动物组织、乳制品、谷类、食品、土壤、沉积物、淤泥、固废物、烟草、作物、饮料、果肉、果汁、肥料、啤酒/麦芽、制药、降解塑料和高浓度废水等样品中的总碳（TC）、有机碳（TOC）、有机质、无机碳（TIC）、元素碳（TEC）和总氮（TN）等指标的自动分析。</w:t>
            </w:r>
          </w:p>
          <w:p w14:paraId="735D882B">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二、技术参数</w:t>
            </w:r>
          </w:p>
          <w:p w14:paraId="1B86FC9A">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1、方法：氮根据DUMAS方法，高温催化燃烧，热导检测器检测（TCD），TC采用高温燃烧，NDIR检测；IC采用酸化吹扫，NDIR检测，TOC通过差减法自动计算得出。也可通过可调的温度设定和梯度升温程序，</w:t>
            </w:r>
            <w:r>
              <w:rPr>
                <w:rFonts w:hint="eastAsia" w:cs="仿宋" w:asciiTheme="minorEastAsia" w:hAnsiTheme="minorEastAsia"/>
                <w:szCs w:val="21"/>
                <w:lang w:val="en-US" w:eastAsia="zh-CN" w:bidi="ar"/>
              </w:rPr>
              <w:t>一次进样</w:t>
            </w:r>
            <w:r>
              <w:rPr>
                <w:rFonts w:hint="eastAsia" w:cs="仿宋" w:asciiTheme="minorEastAsia" w:hAnsiTheme="minorEastAsia"/>
                <w:szCs w:val="21"/>
                <w:lang w:bidi="ar"/>
              </w:rPr>
              <w:t>在不同的特定温度条件下高温燃烧和非分散红外检测(NDIR) 同时测定固体和液体样品的TOC,TIC和TEC的含量。</w:t>
            </w:r>
          </w:p>
          <w:p w14:paraId="0BD360D5">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2、检测范围：氮至少涵盖0～200mg N绝对值；碳至少涵盖0～200mg C绝对值。</w:t>
            </w:r>
          </w:p>
          <w:p w14:paraId="2E1AB1E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3、精度：氮≤0.5% RSD，碳≤1% RSD。</w:t>
            </w:r>
          </w:p>
          <w:p w14:paraId="2D4EB0F8">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4、碳氮同时分析：可同时分析出样品的总氮和总碳、有机碳(有机质)和元素碳的值。</w:t>
            </w:r>
          </w:p>
          <w:p w14:paraId="2B49D85D">
            <w:pPr>
              <w:pStyle w:val="7"/>
              <w:ind w:firstLine="210" w:firstLineChars="100"/>
              <w:rPr>
                <w:rFonts w:cs="仿宋" w:asciiTheme="minorEastAsia" w:hAnsiTheme="minorEastAsia"/>
                <w:szCs w:val="21"/>
                <w:lang w:bidi="ar"/>
              </w:rPr>
            </w:pPr>
            <w:r>
              <w:rPr>
                <w:rFonts w:hint="eastAsia" w:cs="仿宋" w:asciiTheme="minorEastAsia" w:hAnsiTheme="minorEastAsia"/>
                <w:szCs w:val="21"/>
                <w:lang w:bidi="ar"/>
              </w:rPr>
              <w:t>★5、无机碳反应炉具有自动升温（可达150℃）、自动加酸、自动气体吹扫、自动气液分离的功能。</w:t>
            </w:r>
            <w:r>
              <w:rPr>
                <w:rFonts w:hint="eastAsia"/>
              </w:rPr>
              <w:t>（提供产品彩页或相应技术参数的厂家技术白皮书或使用说明书或第三方机构出具的检测报告作为技术证明文件，并用醒目的方式进行标记</w:t>
            </w:r>
            <w:r>
              <w:rPr>
                <w:rFonts w:hint="eastAsia"/>
                <w:lang w:eastAsia="zh-CN"/>
              </w:rPr>
              <w:t>。</w:t>
            </w:r>
            <w:r>
              <w:rPr>
                <w:rFonts w:hint="eastAsia"/>
              </w:rPr>
              <w:t>）</w:t>
            </w:r>
          </w:p>
          <w:p w14:paraId="3DB6CF3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★6、双检测器：具有热导TCD检测器和非分散红外检测器。</w:t>
            </w:r>
          </w:p>
          <w:p w14:paraId="06746C08">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▲7、称样量：固体样品最大3g或液体样品体积2ml。</w:t>
            </w:r>
          </w:p>
          <w:p w14:paraId="0377F8AB">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▲8、自动取样器：不少于100样品位的自动取样器，带有透明防护罩,液体和酱类样品可直接称于坩埚中，通过自动进样器自动进样分析。</w:t>
            </w:r>
          </w:p>
          <w:p w14:paraId="5A294551">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▲9、样品进样方式：由下至上的垂直进样系统，采用可反复使用的坩埚直接进样分析，样品无需使用锡纸包裹直接进样分析，降低运行成本。</w:t>
            </w:r>
          </w:p>
          <w:p w14:paraId="4753F271">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▲10、上位炉结构（燃烧炉位于进样器上部），分析过程中自动带走炉内样品灰份，无须炉内样品灰份处理，反应炉无需停炉维护。</w:t>
            </w:r>
          </w:p>
          <w:p w14:paraId="734A6FCC">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11、内置精密的气体分流装置：分流比例1/50，降低还原剂的损耗</w:t>
            </w:r>
          </w:p>
          <w:p w14:paraId="209C9476">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12、反应炉温度：燃烧炉：</w:t>
            </w:r>
            <w:r>
              <w:rPr>
                <w:rFonts w:hint="eastAsia" w:cs="仿宋" w:asciiTheme="minorEastAsia" w:hAnsiTheme="minorEastAsia"/>
                <w:szCs w:val="21"/>
                <w:lang w:val="en-US" w:eastAsia="zh-CN" w:bidi="ar"/>
              </w:rPr>
              <w:t>≥</w:t>
            </w:r>
            <w:r>
              <w:rPr>
                <w:rFonts w:hint="eastAsia" w:cs="仿宋" w:asciiTheme="minorEastAsia" w:hAnsiTheme="minorEastAsia"/>
                <w:szCs w:val="21"/>
                <w:lang w:bidi="ar"/>
              </w:rPr>
              <w:t>1200℃；氧化/还原双温区反应炉：</w:t>
            </w:r>
            <w:r>
              <w:rPr>
                <w:rFonts w:hint="eastAsia" w:cs="仿宋" w:asciiTheme="minorEastAsia" w:hAnsiTheme="minorEastAsia"/>
                <w:szCs w:val="21"/>
                <w:lang w:val="en-US" w:eastAsia="zh-CN" w:bidi="ar"/>
              </w:rPr>
              <w:t>≥</w:t>
            </w:r>
            <w:r>
              <w:rPr>
                <w:rFonts w:hint="eastAsia" w:cs="仿宋" w:asciiTheme="minorEastAsia" w:hAnsiTheme="minorEastAsia"/>
                <w:szCs w:val="21"/>
                <w:lang w:bidi="ar"/>
              </w:rPr>
              <w:t>750℃/600℃；</w:t>
            </w:r>
            <w:r>
              <w:rPr>
                <w:rFonts w:hint="eastAsia" w:cs="仿宋" w:asciiTheme="minorEastAsia" w:hAnsiTheme="minorEastAsia"/>
                <w:szCs w:val="21"/>
                <w:lang w:val="en-US" w:eastAsia="zh-CN" w:bidi="ar"/>
              </w:rPr>
              <w:t>≥</w:t>
            </w:r>
            <w:r>
              <w:rPr>
                <w:rFonts w:hint="eastAsia" w:cs="仿宋" w:asciiTheme="minorEastAsia" w:hAnsiTheme="minorEastAsia"/>
                <w:szCs w:val="21"/>
                <w:lang w:bidi="ar"/>
              </w:rPr>
              <w:t>无机碳反应炉150℃。</w:t>
            </w:r>
          </w:p>
          <w:p w14:paraId="7D213242">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▲13、四阶温度梯度燃烧炉，程控可调的温度设定和梯度升温程序，可在不同的特定温度条件下高温燃烧和非分散红外检测(NDIR) ，一次进样同时测定固体和液体样品的TOC（400℃）, TIC（900℃）和TEC（600℃）的含量。</w:t>
            </w:r>
          </w:p>
          <w:p w14:paraId="5F4001C4">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14、具有三级脱水可直接分析液体样品：玻璃冷凝器脱水、电子制冷脱水、吸附剂除水。</w:t>
            </w:r>
          </w:p>
          <w:p w14:paraId="69EA7EAD">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▲15、内置恒温箱：内置40℃±0.1℃恒温装置，确保系统检测器、分流器、气体集气系统、气路控制等装置的恒温状态，避免由于环境温度的变化造成气体流路稳定性的变化，提高分析精度和准确度。</w:t>
            </w:r>
          </w:p>
          <w:p w14:paraId="5A53FAF2">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★16、内置触摸屏显示器,可显示系统运行状态、分别燃烧炉/还原炉/检测器/电子冷凝器/恒温箱的实时温度、检测器信号值、流速和测量时间。</w:t>
            </w:r>
          </w:p>
          <w:p w14:paraId="5B7F5373">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17、具有计算机程序控制的机械臂随机进行样品的自动投送功能。</w:t>
            </w:r>
          </w:p>
          <w:p w14:paraId="5DD650F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18、软件功能：采用</w:t>
            </w:r>
            <w:r>
              <w:rPr>
                <w:rFonts w:hint="eastAsia" w:cs="仿宋" w:asciiTheme="minorEastAsia" w:hAnsiTheme="minorEastAsia"/>
                <w:szCs w:val="21"/>
                <w:lang w:val="en-US" w:eastAsia="zh-CN" w:bidi="ar"/>
              </w:rPr>
              <w:t>桌面操作系统</w:t>
            </w:r>
            <w:r>
              <w:rPr>
                <w:rFonts w:hint="eastAsia" w:cs="仿宋" w:asciiTheme="minorEastAsia" w:hAnsiTheme="minorEastAsia"/>
                <w:szCs w:val="21"/>
                <w:lang w:bidi="ar"/>
              </w:rPr>
              <w:t>便于使用和确保兼容LIMS，显示和储存实时信息如温度和检测器信号，进行元素分析。具有自动诊断功能；具有自动维护提示功能；当无人监控操作时用户可设定警报限值安全操作。具有测量结果的自动统计及校准功能。</w:t>
            </w:r>
          </w:p>
          <w:p w14:paraId="423F7BC2">
            <w:pPr>
              <w:pStyle w:val="17"/>
              <w:ind w:firstLine="210" w:firstLineChars="100"/>
              <w:jc w:val="both"/>
              <w:rPr>
                <w:rFonts w:hint="default"/>
                <w:sz w:val="21"/>
                <w:szCs w:val="21"/>
              </w:rPr>
            </w:pPr>
            <w:r>
              <w:rPr>
                <w:sz w:val="21"/>
                <w:szCs w:val="21"/>
              </w:rPr>
              <w:t>三、配置清单</w:t>
            </w:r>
          </w:p>
          <w:tbl>
            <w:tblPr>
              <w:tblStyle w:val="1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951"/>
              <w:gridCol w:w="1299"/>
              <w:gridCol w:w="1365"/>
            </w:tblGrid>
            <w:tr w14:paraId="75B5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pct"/>
                  <w:tcMar>
                    <w:top w:w="0" w:type="dxa"/>
                    <w:left w:w="105" w:type="dxa"/>
                    <w:bottom w:w="0" w:type="dxa"/>
                    <w:right w:w="105" w:type="dxa"/>
                  </w:tcMar>
                </w:tcPr>
                <w:p w14:paraId="7D1080E6">
                  <w:pPr>
                    <w:pStyle w:val="17"/>
                    <w:jc w:val="center"/>
                    <w:rPr>
                      <w:rFonts w:hint="default" w:ascii="宋体" w:hAnsi="宋体" w:eastAsia="宋体" w:cs="宋体"/>
                      <w:sz w:val="21"/>
                      <w:szCs w:val="21"/>
                    </w:rPr>
                  </w:pPr>
                  <w:r>
                    <w:rPr>
                      <w:rFonts w:ascii="宋体" w:hAnsi="宋体" w:eastAsia="宋体" w:cs="宋体"/>
                      <w:sz w:val="21"/>
                      <w:szCs w:val="21"/>
                    </w:rPr>
                    <w:t>序号</w:t>
                  </w:r>
                </w:p>
              </w:tc>
              <w:tc>
                <w:tcPr>
                  <w:tcW w:w="2281" w:type="pct"/>
                  <w:tcMar>
                    <w:top w:w="0" w:type="dxa"/>
                    <w:left w:w="105" w:type="dxa"/>
                    <w:bottom w:w="0" w:type="dxa"/>
                    <w:right w:w="105" w:type="dxa"/>
                  </w:tcMar>
                </w:tcPr>
                <w:p w14:paraId="678E414A">
                  <w:pPr>
                    <w:pStyle w:val="17"/>
                    <w:jc w:val="center"/>
                    <w:rPr>
                      <w:rFonts w:hint="default" w:ascii="宋体" w:hAnsi="宋体" w:eastAsia="宋体" w:cs="宋体"/>
                      <w:sz w:val="21"/>
                      <w:szCs w:val="21"/>
                    </w:rPr>
                  </w:pPr>
                  <w:r>
                    <w:rPr>
                      <w:rFonts w:ascii="宋体" w:hAnsi="宋体" w:eastAsia="宋体" w:cs="宋体"/>
                      <w:sz w:val="21"/>
                      <w:szCs w:val="21"/>
                    </w:rPr>
                    <w:t>配置名称</w:t>
                  </w:r>
                </w:p>
              </w:tc>
              <w:tc>
                <w:tcPr>
                  <w:tcW w:w="1004" w:type="pct"/>
                  <w:tcMar>
                    <w:top w:w="0" w:type="dxa"/>
                    <w:left w:w="105" w:type="dxa"/>
                    <w:bottom w:w="0" w:type="dxa"/>
                    <w:right w:w="105" w:type="dxa"/>
                  </w:tcMar>
                </w:tcPr>
                <w:p w14:paraId="626ACED1">
                  <w:pPr>
                    <w:pStyle w:val="17"/>
                    <w:jc w:val="center"/>
                    <w:rPr>
                      <w:rFonts w:hint="default" w:ascii="宋体" w:hAnsi="宋体" w:eastAsia="宋体" w:cs="宋体"/>
                      <w:sz w:val="21"/>
                      <w:szCs w:val="21"/>
                    </w:rPr>
                  </w:pPr>
                  <w:r>
                    <w:rPr>
                      <w:rFonts w:ascii="宋体" w:hAnsi="宋体" w:eastAsia="宋体" w:cs="宋体"/>
                      <w:sz w:val="21"/>
                      <w:szCs w:val="21"/>
                    </w:rPr>
                    <w:t>单位</w:t>
                  </w:r>
                </w:p>
              </w:tc>
              <w:tc>
                <w:tcPr>
                  <w:tcW w:w="1055" w:type="pct"/>
                  <w:tcMar>
                    <w:top w:w="0" w:type="dxa"/>
                    <w:left w:w="105" w:type="dxa"/>
                    <w:bottom w:w="0" w:type="dxa"/>
                    <w:right w:w="105" w:type="dxa"/>
                  </w:tcMar>
                </w:tcPr>
                <w:p w14:paraId="5BC3D36B">
                  <w:pPr>
                    <w:pStyle w:val="17"/>
                    <w:jc w:val="center"/>
                    <w:rPr>
                      <w:rFonts w:hint="default" w:ascii="宋体" w:hAnsi="宋体" w:eastAsia="宋体" w:cs="宋体"/>
                      <w:sz w:val="21"/>
                      <w:szCs w:val="21"/>
                    </w:rPr>
                  </w:pPr>
                  <w:r>
                    <w:rPr>
                      <w:rFonts w:ascii="宋体" w:hAnsi="宋体" w:eastAsia="宋体" w:cs="宋体"/>
                      <w:sz w:val="21"/>
                      <w:szCs w:val="21"/>
                    </w:rPr>
                    <w:t>数量</w:t>
                  </w:r>
                </w:p>
              </w:tc>
            </w:tr>
            <w:tr w14:paraId="7D51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pct"/>
                  <w:tcMar>
                    <w:top w:w="0" w:type="dxa"/>
                    <w:left w:w="105" w:type="dxa"/>
                    <w:bottom w:w="0" w:type="dxa"/>
                    <w:right w:w="105" w:type="dxa"/>
                  </w:tcMar>
                </w:tcPr>
                <w:p w14:paraId="7F9CF604">
                  <w:pPr>
                    <w:pStyle w:val="17"/>
                    <w:jc w:val="center"/>
                    <w:rPr>
                      <w:rFonts w:hint="default" w:ascii="宋体" w:hAnsi="宋体" w:eastAsia="宋体" w:cs="宋体"/>
                      <w:sz w:val="21"/>
                      <w:szCs w:val="21"/>
                    </w:rPr>
                  </w:pPr>
                  <w:r>
                    <w:rPr>
                      <w:rFonts w:ascii="宋体" w:hAnsi="宋体" w:eastAsia="宋体" w:cs="宋体"/>
                      <w:sz w:val="21"/>
                      <w:szCs w:val="21"/>
                    </w:rPr>
                    <w:t>1</w:t>
                  </w:r>
                </w:p>
              </w:tc>
              <w:tc>
                <w:tcPr>
                  <w:tcW w:w="2281" w:type="pct"/>
                  <w:tcMar>
                    <w:top w:w="0" w:type="dxa"/>
                    <w:left w:w="105" w:type="dxa"/>
                    <w:bottom w:w="0" w:type="dxa"/>
                    <w:right w:w="105" w:type="dxa"/>
                  </w:tcMar>
                  <w:vAlign w:val="center"/>
                </w:tcPr>
                <w:p w14:paraId="2FD31BBC">
                  <w:pPr>
                    <w:jc w:val="center"/>
                    <w:rPr>
                      <w:rFonts w:ascii="宋体" w:hAnsi="宋体" w:eastAsia="宋体" w:cs="宋体"/>
                      <w:szCs w:val="21"/>
                    </w:rPr>
                  </w:pPr>
                  <w:r>
                    <w:rPr>
                      <w:rFonts w:hint="eastAsia" w:ascii="宋体" w:hAnsi="宋体" w:eastAsia="宋体" w:cs="宋体"/>
                      <w:color w:val="000000" w:themeColor="text1"/>
                      <w14:textFill>
                        <w14:solidFill>
                          <w14:schemeClr w14:val="tx1"/>
                        </w14:solidFill>
                      </w14:textFill>
                    </w:rPr>
                    <w:t>全自动形态碳总氮分析仪</w:t>
                  </w:r>
                </w:p>
              </w:tc>
              <w:tc>
                <w:tcPr>
                  <w:tcW w:w="1004" w:type="pct"/>
                  <w:tcMar>
                    <w:top w:w="0" w:type="dxa"/>
                    <w:left w:w="105" w:type="dxa"/>
                    <w:bottom w:w="0" w:type="dxa"/>
                    <w:right w:w="105" w:type="dxa"/>
                  </w:tcMar>
                  <w:vAlign w:val="center"/>
                </w:tcPr>
                <w:p w14:paraId="726B461D">
                  <w:pPr>
                    <w:jc w:val="center"/>
                    <w:rPr>
                      <w:rFonts w:ascii="宋体" w:hAnsi="宋体" w:eastAsia="宋体" w:cs="宋体"/>
                      <w:szCs w:val="21"/>
                    </w:rPr>
                  </w:pPr>
                  <w:r>
                    <w:rPr>
                      <w:rFonts w:hint="eastAsia" w:ascii="宋体" w:hAnsi="宋体" w:eastAsia="宋体" w:cs="宋体"/>
                    </w:rPr>
                    <w:t>台</w:t>
                  </w:r>
                </w:p>
              </w:tc>
              <w:tc>
                <w:tcPr>
                  <w:tcW w:w="1055" w:type="pct"/>
                  <w:tcMar>
                    <w:top w:w="0" w:type="dxa"/>
                    <w:left w:w="105" w:type="dxa"/>
                    <w:bottom w:w="0" w:type="dxa"/>
                    <w:right w:w="105" w:type="dxa"/>
                  </w:tcMar>
                  <w:vAlign w:val="center"/>
                </w:tcPr>
                <w:p w14:paraId="1D9B826A">
                  <w:pPr>
                    <w:jc w:val="center"/>
                    <w:rPr>
                      <w:rFonts w:ascii="宋体" w:hAnsi="宋体" w:eastAsia="宋体" w:cs="宋体"/>
                      <w:szCs w:val="21"/>
                    </w:rPr>
                  </w:pPr>
                  <w:r>
                    <w:rPr>
                      <w:rFonts w:hint="eastAsia" w:ascii="宋体" w:hAnsi="宋体" w:eastAsia="宋体" w:cs="宋体"/>
                    </w:rPr>
                    <w:t>1</w:t>
                  </w:r>
                </w:p>
              </w:tc>
            </w:tr>
            <w:tr w14:paraId="2700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pct"/>
                  <w:tcMar>
                    <w:top w:w="0" w:type="dxa"/>
                    <w:left w:w="105" w:type="dxa"/>
                    <w:bottom w:w="0" w:type="dxa"/>
                    <w:right w:w="105" w:type="dxa"/>
                  </w:tcMar>
                </w:tcPr>
                <w:p w14:paraId="018EB98C">
                  <w:pPr>
                    <w:pStyle w:val="17"/>
                    <w:jc w:val="center"/>
                    <w:rPr>
                      <w:rFonts w:hint="default" w:ascii="宋体" w:hAnsi="宋体" w:eastAsia="宋体" w:cs="宋体"/>
                      <w:sz w:val="21"/>
                      <w:szCs w:val="21"/>
                    </w:rPr>
                  </w:pPr>
                  <w:r>
                    <w:rPr>
                      <w:rFonts w:ascii="宋体" w:hAnsi="宋体" w:eastAsia="宋体" w:cs="宋体"/>
                    </w:rPr>
                    <w:t>2</w:t>
                  </w:r>
                </w:p>
              </w:tc>
              <w:tc>
                <w:tcPr>
                  <w:tcW w:w="2281" w:type="pct"/>
                  <w:tcMar>
                    <w:top w:w="0" w:type="dxa"/>
                    <w:left w:w="105" w:type="dxa"/>
                    <w:bottom w:w="0" w:type="dxa"/>
                    <w:right w:w="105" w:type="dxa"/>
                  </w:tcMar>
                  <w:vAlign w:val="center"/>
                </w:tcPr>
                <w:p w14:paraId="15D30864">
                  <w:pPr>
                    <w:jc w:val="center"/>
                    <w:rPr>
                      <w:rFonts w:ascii="宋体" w:hAnsi="宋体" w:eastAsia="宋体" w:cs="宋体"/>
                      <w:kern w:val="0"/>
                      <w:szCs w:val="21"/>
                      <w:lang w:bidi="ar"/>
                    </w:rPr>
                  </w:pPr>
                  <w:r>
                    <w:rPr>
                      <w:rFonts w:hint="eastAsia" w:ascii="宋体" w:hAnsi="宋体" w:eastAsia="宋体" w:cs="宋体"/>
                      <w:color w:val="000000" w:themeColor="text1"/>
                      <w14:textFill>
                        <w14:solidFill>
                          <w14:schemeClr w14:val="tx1"/>
                        </w14:solidFill>
                      </w14:textFill>
                    </w:rPr>
                    <w:t>100位的自动进样器</w:t>
                  </w:r>
                </w:p>
              </w:tc>
              <w:tc>
                <w:tcPr>
                  <w:tcW w:w="1004" w:type="pct"/>
                  <w:tcMar>
                    <w:top w:w="0" w:type="dxa"/>
                    <w:left w:w="105" w:type="dxa"/>
                    <w:bottom w:w="0" w:type="dxa"/>
                    <w:right w:w="105" w:type="dxa"/>
                  </w:tcMar>
                  <w:vAlign w:val="center"/>
                </w:tcPr>
                <w:p w14:paraId="6279CD41">
                  <w:pPr>
                    <w:jc w:val="center"/>
                    <w:rPr>
                      <w:rFonts w:ascii="宋体" w:hAnsi="宋体" w:eastAsia="宋体" w:cs="宋体"/>
                      <w:szCs w:val="21"/>
                    </w:rPr>
                  </w:pPr>
                  <w:r>
                    <w:rPr>
                      <w:rFonts w:hint="eastAsia" w:ascii="宋体" w:hAnsi="宋体" w:eastAsia="宋体" w:cs="宋体"/>
                    </w:rPr>
                    <w:t>套</w:t>
                  </w:r>
                </w:p>
              </w:tc>
              <w:tc>
                <w:tcPr>
                  <w:tcW w:w="1055" w:type="pct"/>
                  <w:tcMar>
                    <w:top w:w="0" w:type="dxa"/>
                    <w:left w:w="105" w:type="dxa"/>
                    <w:bottom w:w="0" w:type="dxa"/>
                    <w:right w:w="105" w:type="dxa"/>
                  </w:tcMar>
                  <w:vAlign w:val="center"/>
                </w:tcPr>
                <w:p w14:paraId="5847F8F1">
                  <w:pPr>
                    <w:jc w:val="center"/>
                    <w:rPr>
                      <w:rFonts w:ascii="宋体" w:hAnsi="宋体" w:eastAsia="宋体" w:cs="宋体"/>
                      <w:szCs w:val="21"/>
                    </w:rPr>
                  </w:pPr>
                  <w:r>
                    <w:rPr>
                      <w:rFonts w:hint="eastAsia" w:ascii="宋体" w:hAnsi="宋体" w:eastAsia="宋体" w:cs="宋体"/>
                    </w:rPr>
                    <w:t>1</w:t>
                  </w:r>
                </w:p>
              </w:tc>
            </w:tr>
            <w:tr w14:paraId="2F54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pct"/>
                  <w:tcMar>
                    <w:top w:w="0" w:type="dxa"/>
                    <w:left w:w="105" w:type="dxa"/>
                    <w:bottom w:w="0" w:type="dxa"/>
                    <w:right w:w="105" w:type="dxa"/>
                  </w:tcMar>
                </w:tcPr>
                <w:p w14:paraId="13FA2654">
                  <w:pPr>
                    <w:pStyle w:val="17"/>
                    <w:jc w:val="center"/>
                    <w:rPr>
                      <w:rFonts w:hint="default" w:ascii="宋体" w:hAnsi="宋体" w:eastAsia="宋体" w:cs="宋体"/>
                      <w:sz w:val="21"/>
                      <w:szCs w:val="21"/>
                    </w:rPr>
                  </w:pPr>
                  <w:r>
                    <w:rPr>
                      <w:rFonts w:ascii="宋体" w:hAnsi="宋体" w:eastAsia="宋体" w:cs="宋体"/>
                    </w:rPr>
                    <w:t>3</w:t>
                  </w:r>
                </w:p>
              </w:tc>
              <w:tc>
                <w:tcPr>
                  <w:tcW w:w="2281" w:type="pct"/>
                  <w:tcMar>
                    <w:top w:w="0" w:type="dxa"/>
                    <w:left w:w="105" w:type="dxa"/>
                    <w:bottom w:w="0" w:type="dxa"/>
                    <w:right w:w="105" w:type="dxa"/>
                  </w:tcMar>
                  <w:vAlign w:val="center"/>
                </w:tcPr>
                <w:p w14:paraId="7EE6EA6E">
                  <w:pPr>
                    <w:jc w:val="center"/>
                    <w:rPr>
                      <w:rFonts w:ascii="宋体" w:hAnsi="宋体" w:eastAsia="宋体" w:cs="宋体"/>
                      <w:kern w:val="0"/>
                      <w:szCs w:val="21"/>
                      <w:lang w:bidi="ar"/>
                    </w:rPr>
                  </w:pPr>
                  <w:r>
                    <w:rPr>
                      <w:rFonts w:hint="eastAsia" w:ascii="宋体" w:hAnsi="宋体" w:eastAsia="宋体" w:cs="宋体"/>
                      <w:color w:val="000000" w:themeColor="text1"/>
                      <w14:textFill>
                        <w14:solidFill>
                          <w14:schemeClr w14:val="tx1"/>
                        </w14:solidFill>
                      </w14:textFill>
                    </w:rPr>
                    <w:t>2000个样品以上耗材</w:t>
                  </w:r>
                </w:p>
              </w:tc>
              <w:tc>
                <w:tcPr>
                  <w:tcW w:w="1004" w:type="pct"/>
                  <w:tcMar>
                    <w:top w:w="0" w:type="dxa"/>
                    <w:left w:w="105" w:type="dxa"/>
                    <w:bottom w:w="0" w:type="dxa"/>
                    <w:right w:w="105" w:type="dxa"/>
                  </w:tcMar>
                  <w:vAlign w:val="center"/>
                </w:tcPr>
                <w:p w14:paraId="4454B58E">
                  <w:pPr>
                    <w:jc w:val="center"/>
                    <w:rPr>
                      <w:rFonts w:ascii="宋体" w:hAnsi="宋体" w:eastAsia="宋体" w:cs="宋体"/>
                      <w:szCs w:val="21"/>
                    </w:rPr>
                  </w:pPr>
                  <w:r>
                    <w:rPr>
                      <w:rFonts w:hint="eastAsia" w:ascii="宋体" w:hAnsi="宋体" w:eastAsia="宋体" w:cs="宋体"/>
                    </w:rPr>
                    <w:t>套</w:t>
                  </w:r>
                </w:p>
              </w:tc>
              <w:tc>
                <w:tcPr>
                  <w:tcW w:w="1055" w:type="pct"/>
                  <w:tcMar>
                    <w:top w:w="0" w:type="dxa"/>
                    <w:left w:w="105" w:type="dxa"/>
                    <w:bottom w:w="0" w:type="dxa"/>
                    <w:right w:w="105" w:type="dxa"/>
                  </w:tcMar>
                  <w:vAlign w:val="center"/>
                </w:tcPr>
                <w:p w14:paraId="540F84E9">
                  <w:pPr>
                    <w:jc w:val="center"/>
                    <w:rPr>
                      <w:rFonts w:ascii="宋体" w:hAnsi="宋体" w:eastAsia="宋体" w:cs="宋体"/>
                      <w:szCs w:val="21"/>
                    </w:rPr>
                  </w:pPr>
                  <w:r>
                    <w:rPr>
                      <w:rFonts w:hint="eastAsia" w:ascii="宋体" w:hAnsi="宋体" w:eastAsia="宋体" w:cs="宋体"/>
                    </w:rPr>
                    <w:t>1</w:t>
                  </w:r>
                </w:p>
              </w:tc>
            </w:tr>
            <w:tr w14:paraId="4D45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pct"/>
                  <w:tcMar>
                    <w:top w:w="0" w:type="dxa"/>
                    <w:left w:w="105" w:type="dxa"/>
                    <w:bottom w:w="0" w:type="dxa"/>
                    <w:right w:w="105" w:type="dxa"/>
                  </w:tcMar>
                </w:tcPr>
                <w:p w14:paraId="74F5D8B2">
                  <w:pPr>
                    <w:pStyle w:val="17"/>
                    <w:jc w:val="center"/>
                    <w:rPr>
                      <w:rFonts w:hint="default" w:ascii="宋体" w:hAnsi="宋体" w:eastAsia="宋体" w:cs="宋体"/>
                      <w:sz w:val="21"/>
                      <w:szCs w:val="21"/>
                    </w:rPr>
                  </w:pPr>
                  <w:r>
                    <w:rPr>
                      <w:rFonts w:ascii="宋体" w:hAnsi="宋体" w:eastAsia="宋体" w:cs="宋体"/>
                    </w:rPr>
                    <w:t>4</w:t>
                  </w:r>
                </w:p>
              </w:tc>
              <w:tc>
                <w:tcPr>
                  <w:tcW w:w="2281" w:type="pct"/>
                  <w:tcMar>
                    <w:top w:w="0" w:type="dxa"/>
                    <w:left w:w="105" w:type="dxa"/>
                    <w:bottom w:w="0" w:type="dxa"/>
                    <w:right w:w="105" w:type="dxa"/>
                  </w:tcMar>
                  <w:vAlign w:val="center"/>
                </w:tcPr>
                <w:p w14:paraId="3CF32399">
                  <w:pPr>
                    <w:jc w:val="center"/>
                    <w:rPr>
                      <w:rFonts w:ascii="宋体" w:hAnsi="宋体" w:eastAsia="宋体" w:cs="宋体"/>
                      <w:kern w:val="0"/>
                      <w:szCs w:val="21"/>
                      <w:lang w:bidi="ar"/>
                    </w:rPr>
                  </w:pPr>
                  <w:r>
                    <w:rPr>
                      <w:rFonts w:hint="eastAsia" w:ascii="宋体" w:hAnsi="宋体" w:eastAsia="宋体" w:cs="宋体"/>
                      <w:color w:val="000000" w:themeColor="text1"/>
                      <w14:textFill>
                        <w14:solidFill>
                          <w14:schemeClr w14:val="tx1"/>
                        </w14:solidFill>
                      </w14:textFill>
                    </w:rPr>
                    <w:t>启动工具包</w:t>
                  </w:r>
                </w:p>
              </w:tc>
              <w:tc>
                <w:tcPr>
                  <w:tcW w:w="1004" w:type="pct"/>
                  <w:tcMar>
                    <w:top w:w="0" w:type="dxa"/>
                    <w:left w:w="105" w:type="dxa"/>
                    <w:bottom w:w="0" w:type="dxa"/>
                    <w:right w:w="105" w:type="dxa"/>
                  </w:tcMar>
                  <w:vAlign w:val="center"/>
                </w:tcPr>
                <w:p w14:paraId="711DF061">
                  <w:pPr>
                    <w:jc w:val="center"/>
                    <w:rPr>
                      <w:rFonts w:ascii="宋体" w:hAnsi="宋体" w:eastAsia="宋体" w:cs="宋体"/>
                      <w:szCs w:val="21"/>
                    </w:rPr>
                  </w:pPr>
                  <w:r>
                    <w:rPr>
                      <w:rFonts w:hint="eastAsia" w:ascii="宋体" w:hAnsi="宋体" w:eastAsia="宋体" w:cs="宋体"/>
                    </w:rPr>
                    <w:t>包</w:t>
                  </w:r>
                </w:p>
              </w:tc>
              <w:tc>
                <w:tcPr>
                  <w:tcW w:w="1055" w:type="pct"/>
                  <w:tcMar>
                    <w:top w:w="0" w:type="dxa"/>
                    <w:left w:w="105" w:type="dxa"/>
                    <w:bottom w:w="0" w:type="dxa"/>
                    <w:right w:w="105" w:type="dxa"/>
                  </w:tcMar>
                  <w:vAlign w:val="center"/>
                </w:tcPr>
                <w:p w14:paraId="29A91DF3">
                  <w:pPr>
                    <w:jc w:val="center"/>
                    <w:rPr>
                      <w:rFonts w:ascii="宋体" w:hAnsi="宋体" w:eastAsia="宋体" w:cs="宋体"/>
                      <w:szCs w:val="21"/>
                    </w:rPr>
                  </w:pPr>
                  <w:r>
                    <w:rPr>
                      <w:rFonts w:hint="eastAsia" w:ascii="宋体" w:hAnsi="宋体" w:eastAsia="宋体" w:cs="宋体"/>
                    </w:rPr>
                    <w:t>1</w:t>
                  </w:r>
                </w:p>
              </w:tc>
            </w:tr>
          </w:tbl>
          <w:p w14:paraId="3B8BDA01">
            <w:pPr>
              <w:jc w:val="left"/>
              <w:rPr>
                <w:rFonts w:asciiTheme="minorEastAsia" w:hAnsiTheme="minorEastAsia"/>
                <w:szCs w:val="21"/>
              </w:rPr>
            </w:pPr>
          </w:p>
        </w:tc>
      </w:tr>
    </w:tbl>
    <w:p w14:paraId="3E4A8211">
      <w:pPr>
        <w:rPr>
          <w:rFonts w:hint="eastAsia" w:asciiTheme="minorEastAsia" w:hAnsiTheme="minorEastAsia"/>
          <w:szCs w:val="21"/>
        </w:rPr>
      </w:pPr>
      <w:r>
        <w:rPr>
          <w:rFonts w:hint="eastAsia" w:asciiTheme="minorEastAsia" w:hAnsiTheme="minorEastAsia"/>
          <w:szCs w:val="21"/>
        </w:rPr>
        <w:br w:type="page"/>
      </w:r>
    </w:p>
    <w:p w14:paraId="454E9478">
      <w:pPr>
        <w:outlineLvl w:val="1"/>
        <w:rPr>
          <w:rFonts w:asciiTheme="minorEastAsia" w:hAnsiTheme="minorEastAsia"/>
          <w:szCs w:val="21"/>
          <w:u w:val="single"/>
        </w:rPr>
      </w:pPr>
      <w:r>
        <w:rPr>
          <w:rFonts w:hint="eastAsia" w:asciiTheme="minorEastAsia" w:hAnsiTheme="minorEastAsia"/>
          <w:szCs w:val="21"/>
        </w:rPr>
        <w:t>附表六：</w:t>
      </w:r>
      <w:r>
        <w:rPr>
          <w:rFonts w:hint="eastAsia" w:asciiTheme="minorEastAsia" w:hAnsiTheme="minorEastAsia"/>
          <w:b/>
          <w:bCs/>
          <w:szCs w:val="21"/>
        </w:rPr>
        <w:t>电子鼻</w:t>
      </w:r>
      <w:r>
        <w:rPr>
          <w:rFonts w:hint="eastAsia" w:asciiTheme="minorEastAsia" w:hAnsiTheme="minorEastAsia"/>
          <w:szCs w:val="21"/>
        </w:rPr>
        <w:t xml:space="preserve">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771"/>
        <w:gridCol w:w="6770"/>
      </w:tblGrid>
      <w:tr w14:paraId="15C8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05F3785B">
            <w:pPr>
              <w:jc w:val="center"/>
              <w:rPr>
                <w:rFonts w:asciiTheme="minorEastAsia" w:hAnsiTheme="minorEastAsia"/>
                <w:b/>
                <w:szCs w:val="21"/>
              </w:rPr>
            </w:pPr>
            <w:r>
              <w:rPr>
                <w:rFonts w:hint="eastAsia" w:asciiTheme="minorEastAsia" w:hAnsiTheme="minorEastAsia"/>
                <w:b/>
                <w:szCs w:val="21"/>
              </w:rPr>
              <w:t>参数性质</w:t>
            </w:r>
          </w:p>
        </w:tc>
        <w:tc>
          <w:tcPr>
            <w:tcW w:w="771" w:type="dxa"/>
          </w:tcPr>
          <w:p w14:paraId="4EFAC537">
            <w:pPr>
              <w:jc w:val="center"/>
              <w:rPr>
                <w:rFonts w:asciiTheme="minorEastAsia" w:hAnsiTheme="minorEastAsia"/>
                <w:b/>
                <w:szCs w:val="21"/>
              </w:rPr>
            </w:pPr>
            <w:r>
              <w:rPr>
                <w:rFonts w:hint="eastAsia" w:asciiTheme="minorEastAsia" w:hAnsiTheme="minorEastAsia"/>
                <w:b/>
                <w:szCs w:val="21"/>
              </w:rPr>
              <w:t>编号</w:t>
            </w:r>
          </w:p>
        </w:tc>
        <w:tc>
          <w:tcPr>
            <w:tcW w:w="6770" w:type="dxa"/>
          </w:tcPr>
          <w:p w14:paraId="06B15770">
            <w:pPr>
              <w:jc w:val="center"/>
              <w:rPr>
                <w:rFonts w:asciiTheme="minorEastAsia" w:hAnsiTheme="minorEastAsia"/>
                <w:b/>
                <w:szCs w:val="21"/>
              </w:rPr>
            </w:pPr>
            <w:r>
              <w:rPr>
                <w:rFonts w:hint="eastAsia" w:asciiTheme="minorEastAsia" w:hAnsiTheme="minorEastAsia"/>
                <w:b/>
                <w:szCs w:val="21"/>
              </w:rPr>
              <w:t>具体技术(参数)要求</w:t>
            </w:r>
          </w:p>
        </w:tc>
      </w:tr>
      <w:tr w14:paraId="1541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7F57BA6A">
            <w:pPr>
              <w:jc w:val="center"/>
              <w:rPr>
                <w:rFonts w:asciiTheme="minorEastAsia" w:hAnsiTheme="minorEastAsia"/>
                <w:szCs w:val="21"/>
              </w:rPr>
            </w:pPr>
          </w:p>
        </w:tc>
        <w:tc>
          <w:tcPr>
            <w:tcW w:w="771" w:type="dxa"/>
          </w:tcPr>
          <w:p w14:paraId="149BF71D">
            <w:pPr>
              <w:tabs>
                <w:tab w:val="left" w:pos="0"/>
              </w:tabs>
              <w:ind w:left="420" w:hanging="420"/>
              <w:jc w:val="center"/>
              <w:rPr>
                <w:rFonts w:asciiTheme="minorEastAsia" w:hAnsiTheme="minorEastAsia"/>
                <w:szCs w:val="21"/>
              </w:rPr>
            </w:pPr>
          </w:p>
        </w:tc>
        <w:tc>
          <w:tcPr>
            <w:tcW w:w="6770" w:type="dxa"/>
          </w:tcPr>
          <w:p w14:paraId="6B9371E9">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一、用途</w:t>
            </w:r>
          </w:p>
          <w:p w14:paraId="21E3585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主要用于畜禽产品品质与风味评价、饲料原料质量安全控制、畜禽健康状态监测及养殖环境气味分析等科研工作，利用气味指纹图谱技术对肉、奶、蛋等畜产品的新鲜度、风味特征及货架期进行客观量化评价，为畜禽遗传改良、饲料配方优化、畜产品质量提升及动物疫病早期预警提供快速、无损的气味分析数据支撑。</w:t>
            </w:r>
          </w:p>
          <w:p w14:paraId="7A5B41BD">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二、技术参数</w:t>
            </w:r>
          </w:p>
          <w:p w14:paraId="7611D8F3">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1、性能要求</w:t>
            </w:r>
          </w:p>
          <w:p w14:paraId="7BC7F762">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1.1</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单次分析周期时间≤3分钟。</w:t>
            </w:r>
          </w:p>
          <w:p w14:paraId="1CEE7803">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1.2</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能够有效进行样品区分，同时可以建立模板对未知样品进行归类判断。</w:t>
            </w:r>
          </w:p>
          <w:p w14:paraId="2D14F4C4">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1.3</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仪器可接交流电</w:t>
            </w:r>
            <w:r>
              <w:rPr>
                <w:rFonts w:hint="eastAsia" w:cs="仿宋" w:asciiTheme="minorEastAsia" w:hAnsiTheme="minorEastAsia"/>
                <w:szCs w:val="21"/>
                <w:lang w:val="en-US" w:eastAsia="zh-CN" w:bidi="ar"/>
              </w:rPr>
              <w:t>要求</w:t>
            </w:r>
            <w:r>
              <w:rPr>
                <w:rFonts w:hint="eastAsia" w:cs="仿宋" w:asciiTheme="minorEastAsia" w:hAnsiTheme="minorEastAsia"/>
                <w:szCs w:val="21"/>
                <w:lang w:bidi="ar"/>
              </w:rPr>
              <w:t>可接</w:t>
            </w:r>
            <w:r>
              <w:rPr>
                <w:rFonts w:hint="eastAsia"/>
              </w:rPr>
              <w:t>±</w:t>
            </w:r>
            <w:r>
              <w:rPr>
                <w:rFonts w:hint="eastAsia" w:cs="仿宋" w:asciiTheme="minorEastAsia" w:hAnsiTheme="minorEastAsia"/>
                <w:szCs w:val="21"/>
                <w:lang w:bidi="ar"/>
              </w:rPr>
              <w:t>12V的直流电，可在试验室用，也可在野外或车载使用。</w:t>
            </w:r>
          </w:p>
          <w:p w14:paraId="2C8C0C1B">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1.4</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检测室中</w:t>
            </w:r>
            <w:r>
              <w:rPr>
                <w:rFonts w:hint="eastAsia" w:cs="仿宋" w:asciiTheme="minorEastAsia" w:hAnsiTheme="minorEastAsia"/>
                <w:szCs w:val="21"/>
                <w:lang w:val="en-US" w:eastAsia="zh-CN" w:bidi="ar"/>
              </w:rPr>
              <w:t>要求</w:t>
            </w:r>
            <w:r>
              <w:rPr>
                <w:rFonts w:hint="eastAsia" w:cs="仿宋" w:asciiTheme="minorEastAsia" w:hAnsiTheme="minorEastAsia"/>
                <w:szCs w:val="21"/>
                <w:lang w:bidi="ar"/>
              </w:rPr>
              <w:t>含有≥10个金属氧化气体传感器。内置流量控制系统保证仪器可在移动中使用。</w:t>
            </w:r>
            <w:r>
              <w:rPr>
                <w:rFonts w:hint="eastAsia" w:cs="仿宋" w:asciiTheme="minorEastAsia" w:hAnsiTheme="minorEastAsia"/>
                <w:szCs w:val="21"/>
                <w:lang w:val="en-US" w:eastAsia="zh-CN" w:bidi="ar"/>
              </w:rPr>
              <w:t>具有</w:t>
            </w:r>
            <w:r>
              <w:rPr>
                <w:rFonts w:hint="eastAsia" w:cs="仿宋" w:asciiTheme="minorEastAsia" w:hAnsiTheme="minorEastAsia"/>
                <w:szCs w:val="21"/>
                <w:lang w:bidi="ar"/>
              </w:rPr>
              <w:t>内置的零气生成装置、传感器的校正功能。</w:t>
            </w:r>
          </w:p>
          <w:p w14:paraId="6D5F93A4">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1.5</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内置采样系统和零气控制泵系统，</w:t>
            </w:r>
            <w:r>
              <w:rPr>
                <w:rFonts w:hint="eastAsia" w:cs="仿宋" w:asciiTheme="minorEastAsia" w:hAnsiTheme="minorEastAsia"/>
                <w:szCs w:val="21"/>
                <w:lang w:val="en-US" w:eastAsia="zh-CN" w:bidi="ar"/>
              </w:rPr>
              <w:t>要求</w:t>
            </w:r>
            <w:r>
              <w:rPr>
                <w:rFonts w:hint="eastAsia" w:cs="仿宋" w:asciiTheme="minorEastAsia" w:hAnsiTheme="minorEastAsia"/>
                <w:szCs w:val="21"/>
                <w:lang w:bidi="ar"/>
              </w:rPr>
              <w:t>无需外接任何采样器及气瓶就可独立操作使用。</w:t>
            </w:r>
          </w:p>
          <w:p w14:paraId="53D72A3F">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2、技术要求</w:t>
            </w:r>
          </w:p>
          <w:p w14:paraId="452F6D73">
            <w:pPr>
              <w:spacing w:line="360" w:lineRule="auto"/>
              <w:ind w:firstLine="210" w:firstLineChars="100"/>
              <w:rPr>
                <w:rFonts w:hint="eastAsia" w:cs="仿宋" w:asciiTheme="minorEastAsia" w:hAnsiTheme="minorEastAsia" w:eastAsiaTheme="minorEastAsia"/>
                <w:szCs w:val="21"/>
                <w:lang w:eastAsia="zh-CN" w:bidi="ar"/>
              </w:rPr>
            </w:pPr>
            <w:r>
              <w:rPr>
                <w:rFonts w:hint="eastAsia" w:cs="仿宋" w:asciiTheme="minorEastAsia" w:hAnsiTheme="minorEastAsia"/>
                <w:szCs w:val="21"/>
                <w:lang w:bidi="ar"/>
              </w:rPr>
              <w:t>★2.1</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主机面板具有操作按键，自带液晶屏实时显示实验进程，不接电脑可直接独立单机工作，配备≥10个金属氧化物的气体传感器，仪器整机重量≤3KG，主机尺寸≤300×200×100mm，提供便携箱，</w:t>
            </w:r>
            <w:r>
              <w:rPr>
                <w:rFonts w:hint="eastAsia" w:cs="仿宋" w:asciiTheme="minorEastAsia" w:hAnsiTheme="minorEastAsia"/>
                <w:szCs w:val="21"/>
                <w:lang w:val="en-US" w:eastAsia="zh-CN" w:bidi="ar"/>
              </w:rPr>
              <w:t>可</w:t>
            </w:r>
            <w:r>
              <w:rPr>
                <w:rFonts w:hint="eastAsia" w:cs="仿宋" w:asciiTheme="minorEastAsia" w:hAnsiTheme="minorEastAsia"/>
                <w:szCs w:val="21"/>
                <w:lang w:bidi="ar"/>
              </w:rPr>
              <w:t>随时野外基地现场实时检测。</w:t>
            </w:r>
            <w:r>
              <w:rPr>
                <w:rFonts w:cs="仿宋" w:asciiTheme="minorEastAsia" w:hAnsiTheme="minorEastAsia"/>
                <w:szCs w:val="21"/>
                <w:lang w:bidi="ar"/>
              </w:rPr>
              <w:t>（提供产品彩页或相应技术参数的厂家技术白皮书或使用说明书或第三方机构出具的检测报告作为技术证明文件，并用醒目的方式进行标记）</w:t>
            </w:r>
          </w:p>
          <w:p w14:paraId="00A90F4C">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2.2</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传感器反应时间：≤1秒，响应灵敏度不低于ppm级别。</w:t>
            </w:r>
          </w:p>
          <w:p w14:paraId="0298B53D">
            <w:pPr>
              <w:spacing w:line="360" w:lineRule="auto"/>
              <w:ind w:firstLine="210" w:firstLineChars="100"/>
              <w:rPr>
                <w:rFonts w:hint="eastAsia" w:cs="仿宋" w:asciiTheme="minorEastAsia" w:hAnsiTheme="minorEastAsia"/>
                <w:szCs w:val="21"/>
                <w:lang w:bidi="ar"/>
              </w:rPr>
            </w:pPr>
            <w:r>
              <w:rPr>
                <w:rFonts w:hint="eastAsia" w:cs="仿宋" w:asciiTheme="minorEastAsia" w:hAnsiTheme="minorEastAsia"/>
                <w:szCs w:val="21"/>
                <w:lang w:bidi="ar"/>
              </w:rPr>
              <w:t>▲2.3</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内置流量控制和自动进样系统，可在线进样分析，进样流量</w:t>
            </w:r>
            <w:r>
              <w:rPr>
                <w:rFonts w:hint="eastAsia" w:cs="仿宋" w:asciiTheme="minorEastAsia" w:hAnsiTheme="minorEastAsia"/>
                <w:szCs w:val="21"/>
                <w:lang w:val="en-US" w:eastAsia="zh-CN" w:bidi="ar"/>
              </w:rPr>
              <w:t>至少涵盖</w:t>
            </w:r>
            <w:r>
              <w:rPr>
                <w:rFonts w:hint="eastAsia" w:cs="仿宋" w:asciiTheme="minorEastAsia" w:hAnsiTheme="minorEastAsia"/>
                <w:szCs w:val="21"/>
                <w:lang w:bidi="ar"/>
              </w:rPr>
              <w:t>：10毫升/分钟～350毫升/分钟可设，流量标准偏差SD小于0.5（提供第三方机构出具的准确性测试报告复印件）。</w:t>
            </w:r>
          </w:p>
          <w:p w14:paraId="527A406B">
            <w:pPr>
              <w:spacing w:line="360" w:lineRule="auto"/>
              <w:ind w:firstLine="210" w:firstLineChars="100"/>
              <w:rPr>
                <w:rFonts w:hint="eastAsia" w:cs="仿宋" w:asciiTheme="minorEastAsia" w:hAnsiTheme="minorEastAsia"/>
                <w:szCs w:val="21"/>
                <w:lang w:bidi="ar"/>
              </w:rPr>
            </w:pPr>
            <w:r>
              <w:rPr>
                <w:rFonts w:hint="eastAsia" w:cs="仿宋" w:asciiTheme="minorEastAsia" w:hAnsiTheme="minorEastAsia"/>
                <w:szCs w:val="21"/>
                <w:lang w:bidi="ar"/>
              </w:rPr>
              <w:t>▲2.4</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设备测试空气或者标准气体（如硫化氢）相对标准偏差RSD≤1.2（提供第三方检测机构出具的</w:t>
            </w:r>
            <w:r>
              <w:rPr>
                <w:rFonts w:hint="eastAsia" w:cs="仿宋" w:asciiTheme="minorEastAsia" w:hAnsiTheme="minorEastAsia"/>
                <w:szCs w:val="21"/>
                <w:lang w:val="en-US" w:eastAsia="zh-CN" w:bidi="ar"/>
              </w:rPr>
              <w:t>准确性</w:t>
            </w:r>
            <w:r>
              <w:rPr>
                <w:rFonts w:hint="eastAsia" w:cs="仿宋" w:asciiTheme="minorEastAsia" w:hAnsiTheme="minorEastAsia"/>
                <w:szCs w:val="21"/>
                <w:lang w:bidi="ar"/>
              </w:rPr>
              <w:t>测试</w:t>
            </w:r>
            <w:r>
              <w:rPr>
                <w:rFonts w:hint="eastAsia" w:cs="仿宋" w:asciiTheme="minorEastAsia" w:hAnsiTheme="minorEastAsia"/>
                <w:szCs w:val="21"/>
                <w:lang w:val="en-US" w:eastAsia="zh-CN" w:bidi="ar"/>
              </w:rPr>
              <w:t>报告</w:t>
            </w:r>
            <w:r>
              <w:rPr>
                <w:rFonts w:hint="eastAsia" w:cs="仿宋" w:asciiTheme="minorEastAsia" w:hAnsiTheme="minorEastAsia"/>
                <w:szCs w:val="21"/>
                <w:lang w:bidi="ar"/>
              </w:rPr>
              <w:t>复印件）。</w:t>
            </w:r>
          </w:p>
          <w:p w14:paraId="1A75C166">
            <w:pPr>
              <w:spacing w:line="360" w:lineRule="auto"/>
              <w:ind w:firstLine="210" w:firstLineChars="100"/>
              <w:rPr>
                <w:rFonts w:hint="eastAsia" w:cs="仿宋" w:asciiTheme="minorEastAsia" w:hAnsiTheme="minorEastAsia"/>
                <w:szCs w:val="21"/>
                <w:lang w:bidi="ar"/>
              </w:rPr>
            </w:pPr>
            <w:r>
              <w:rPr>
                <w:rFonts w:hint="eastAsia" w:cs="仿宋" w:asciiTheme="minorEastAsia" w:hAnsiTheme="minorEastAsia"/>
                <w:szCs w:val="21"/>
                <w:lang w:bidi="ar"/>
              </w:rPr>
              <w:t>▲2.5</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内置采样系统：≥2个内置泵（采样和零气），具有内置动态稀释进样功能，可通过设置进气流量和零气流量动态进行比例稀释样品气，具备0到10倍或更宽的稀释功能。</w:t>
            </w:r>
          </w:p>
          <w:p w14:paraId="58109301">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2.6</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主机内置存储系统，可自动存储≥800组实验数据并可连接电脑进行数据的上传与下载。</w:t>
            </w:r>
          </w:p>
          <w:p w14:paraId="28A29F46">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2.7</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可以连接浓缩富集装置使用。</w:t>
            </w:r>
          </w:p>
          <w:p w14:paraId="12A7B212">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2.8</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具有自动调整检测范围功能（自动稀释样品功能）和自动校正功能。</w:t>
            </w:r>
          </w:p>
          <w:p w14:paraId="722BA027">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2.9</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传感器技术：加热传感器，工作温度范围</w:t>
            </w:r>
            <w:r>
              <w:rPr>
                <w:rFonts w:hint="eastAsia" w:cs="仿宋" w:asciiTheme="minorEastAsia" w:hAnsiTheme="minorEastAsia"/>
                <w:szCs w:val="21"/>
                <w:lang w:val="en-US" w:eastAsia="zh-CN" w:bidi="ar"/>
              </w:rPr>
              <w:t>至少涵盖</w:t>
            </w:r>
            <w:r>
              <w:rPr>
                <w:rFonts w:hint="eastAsia" w:cs="仿宋" w:asciiTheme="minorEastAsia" w:hAnsiTheme="minorEastAsia"/>
                <w:szCs w:val="21"/>
                <w:lang w:bidi="ar"/>
              </w:rPr>
              <w:t>：200～400℃。</w:t>
            </w:r>
          </w:p>
          <w:p w14:paraId="0AA2C36A">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2.10</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传感器仓：体积≤1.8毫升，温度≥100℃，不锈钢体。</w:t>
            </w:r>
          </w:p>
          <w:p w14:paraId="6DD900CF">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2.11</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测量循环时间：</w:t>
            </w:r>
            <w:r>
              <w:rPr>
                <w:rFonts w:hint="default"/>
                <w:lang w:val="en-US" w:eastAsia="zh-CN"/>
              </w:rPr>
              <w:t>±</w:t>
            </w:r>
            <w:r>
              <w:rPr>
                <w:rFonts w:hint="eastAsia" w:cs="仿宋" w:asciiTheme="minorEastAsia" w:hAnsiTheme="minorEastAsia"/>
                <w:szCs w:val="21"/>
                <w:lang w:bidi="ar"/>
              </w:rPr>
              <w:t>1分钟。</w:t>
            </w:r>
          </w:p>
          <w:p w14:paraId="74A807EB">
            <w:pPr>
              <w:spacing w:line="360" w:lineRule="auto"/>
              <w:ind w:firstLine="210" w:firstLineChars="100"/>
              <w:rPr>
                <w:rFonts w:hint="eastAsia" w:cs="仿宋" w:asciiTheme="minorEastAsia" w:hAnsiTheme="minorEastAsia"/>
                <w:szCs w:val="21"/>
                <w:lang w:bidi="ar"/>
              </w:rPr>
            </w:pPr>
            <w:r>
              <w:rPr>
                <w:rFonts w:hint="eastAsia" w:cs="仿宋" w:asciiTheme="minorEastAsia" w:hAnsiTheme="minorEastAsia"/>
                <w:szCs w:val="21"/>
                <w:lang w:bidi="ar"/>
              </w:rPr>
              <w:t>▲2.12</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至少包含以下分析方法：</w:t>
            </w:r>
          </w:p>
          <w:p w14:paraId="4B0A2EDF">
            <w:pPr>
              <w:spacing w:line="360" w:lineRule="auto"/>
              <w:ind w:firstLine="420" w:firstLineChars="200"/>
              <w:rPr>
                <w:rFonts w:hint="eastAsia" w:cs="仿宋" w:asciiTheme="minorEastAsia" w:hAnsiTheme="minorEastAsia" w:eastAsiaTheme="minorEastAsia"/>
                <w:szCs w:val="21"/>
                <w:lang w:eastAsia="zh-CN" w:bidi="ar"/>
              </w:rPr>
            </w:pPr>
            <w:r>
              <w:rPr>
                <w:rFonts w:hint="eastAsia" w:cs="仿宋" w:asciiTheme="minorEastAsia" w:hAnsiTheme="minorEastAsia"/>
                <w:szCs w:val="21"/>
                <w:lang w:bidi="ar"/>
              </w:rPr>
              <w:t>区别分析方法：PCA、LDA</w:t>
            </w:r>
            <w:r>
              <w:rPr>
                <w:rFonts w:hint="eastAsia" w:cs="仿宋" w:asciiTheme="minorEastAsia" w:hAnsiTheme="minorEastAsia"/>
                <w:szCs w:val="21"/>
                <w:lang w:eastAsia="zh-CN" w:bidi="ar"/>
              </w:rPr>
              <w:t>。</w:t>
            </w:r>
          </w:p>
          <w:p w14:paraId="0163DF72">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未知样品定性判定方法：EUCLID、CORRELATION、MAHALANOBIS、DFA。</w:t>
            </w:r>
          </w:p>
          <w:p w14:paraId="6815E877">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定量预测分析方法：PLS。</w:t>
            </w:r>
          </w:p>
          <w:p w14:paraId="24FDFFFB">
            <w:pPr>
              <w:spacing w:line="360" w:lineRule="auto"/>
              <w:ind w:firstLine="420" w:firstLineChars="200"/>
              <w:rPr>
                <w:rFonts w:hint="eastAsia" w:cs="仿宋" w:asciiTheme="minorEastAsia" w:hAnsiTheme="minorEastAsia"/>
                <w:szCs w:val="21"/>
                <w:lang w:bidi="ar"/>
              </w:rPr>
            </w:pPr>
            <w:r>
              <w:rPr>
                <w:rFonts w:hint="eastAsia" w:cs="仿宋" w:asciiTheme="minorEastAsia" w:hAnsiTheme="minorEastAsia"/>
                <w:szCs w:val="21"/>
                <w:lang w:bidi="ar"/>
              </w:rPr>
              <w:t>传感器贡献率分析方法：LOADING。</w:t>
            </w:r>
          </w:p>
          <w:p w14:paraId="7C133292">
            <w:pPr>
              <w:pStyle w:val="17"/>
              <w:ind w:firstLine="400" w:firstLineChars="200"/>
              <w:jc w:val="both"/>
              <w:rPr>
                <w:sz w:val="21"/>
                <w:szCs w:val="21"/>
              </w:rPr>
            </w:pPr>
            <w:r>
              <w:rPr>
                <w:rFonts w:hint="eastAsia" w:cs="仿宋" w:asciiTheme="minorEastAsia" w:hAnsiTheme="minorEastAsia"/>
                <w:szCs w:val="21"/>
                <w:lang w:bidi="ar"/>
              </w:rPr>
              <w:t>2.13</w:t>
            </w:r>
            <w:r>
              <w:rPr>
                <w:rFonts w:hint="eastAsia" w:cs="仿宋" w:asciiTheme="minorEastAsia" w:hAnsiTheme="minorEastAsia"/>
                <w:szCs w:val="21"/>
                <w:lang w:val="en-US" w:eastAsia="zh-CN" w:bidi="ar"/>
              </w:rPr>
              <w:t xml:space="preserve"> </w:t>
            </w:r>
            <w:r>
              <w:rPr>
                <w:rFonts w:hint="eastAsia" w:cs="仿宋" w:asciiTheme="minorEastAsia" w:hAnsiTheme="minorEastAsia"/>
                <w:szCs w:val="21"/>
                <w:lang w:bidi="ar"/>
              </w:rPr>
              <w:t>功率：≤300W；电压：</w:t>
            </w:r>
            <w:r>
              <w:rPr>
                <w:rFonts w:hint="eastAsia"/>
              </w:rPr>
              <w:t>±</w:t>
            </w:r>
            <w:r>
              <w:rPr>
                <w:rFonts w:hint="eastAsia" w:cs="仿宋" w:asciiTheme="minorEastAsia" w:hAnsiTheme="minorEastAsia"/>
                <w:szCs w:val="21"/>
                <w:lang w:bidi="ar"/>
              </w:rPr>
              <w:t>220V交流电和</w:t>
            </w:r>
            <w:r>
              <w:rPr>
                <w:rFonts w:hint="eastAsia"/>
              </w:rPr>
              <w:t>±</w:t>
            </w:r>
            <w:r>
              <w:rPr>
                <w:rFonts w:hint="eastAsia" w:cs="仿宋" w:asciiTheme="minorEastAsia" w:hAnsiTheme="minorEastAsia"/>
                <w:szCs w:val="21"/>
                <w:lang w:bidi="ar"/>
              </w:rPr>
              <w:t>12V直流电。</w:t>
            </w:r>
          </w:p>
          <w:p w14:paraId="56818499">
            <w:pPr>
              <w:pStyle w:val="17"/>
              <w:ind w:firstLine="210" w:firstLineChars="100"/>
              <w:jc w:val="both"/>
              <w:rPr>
                <w:rFonts w:hint="default"/>
                <w:sz w:val="21"/>
                <w:szCs w:val="21"/>
              </w:rPr>
            </w:pPr>
            <w:r>
              <w:rPr>
                <w:sz w:val="21"/>
                <w:szCs w:val="21"/>
              </w:rPr>
              <w:t>三、配置清单</w:t>
            </w:r>
          </w:p>
          <w:tbl>
            <w:tblPr>
              <w:tblStyle w:val="11"/>
              <w:tblW w:w="4996" w:type="pct"/>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217"/>
              <w:gridCol w:w="1324"/>
              <w:gridCol w:w="1140"/>
            </w:tblGrid>
            <w:tr w14:paraId="0098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tcPr>
                <w:p w14:paraId="496B7A0E">
                  <w:pPr>
                    <w:pStyle w:val="17"/>
                    <w:jc w:val="center"/>
                    <w:rPr>
                      <w:rFonts w:hint="default" w:ascii="宋体" w:hAnsi="宋体" w:eastAsia="宋体" w:cs="宋体"/>
                      <w:sz w:val="21"/>
                      <w:szCs w:val="21"/>
                    </w:rPr>
                  </w:pPr>
                  <w:r>
                    <w:rPr>
                      <w:rFonts w:ascii="宋体" w:hAnsi="宋体" w:eastAsia="宋体" w:cs="宋体"/>
                      <w:sz w:val="21"/>
                      <w:szCs w:val="21"/>
                    </w:rPr>
                    <w:t>序号</w:t>
                  </w:r>
                </w:p>
              </w:tc>
              <w:tc>
                <w:tcPr>
                  <w:tcW w:w="2459" w:type="pct"/>
                  <w:tcMar>
                    <w:top w:w="0" w:type="dxa"/>
                    <w:left w:w="105" w:type="dxa"/>
                    <w:bottom w:w="0" w:type="dxa"/>
                    <w:right w:w="105" w:type="dxa"/>
                  </w:tcMar>
                </w:tcPr>
                <w:p w14:paraId="6F1ECEEA">
                  <w:pPr>
                    <w:pStyle w:val="17"/>
                    <w:jc w:val="center"/>
                    <w:rPr>
                      <w:rFonts w:hint="default" w:ascii="宋体" w:hAnsi="宋体" w:eastAsia="宋体" w:cs="宋体"/>
                      <w:sz w:val="21"/>
                      <w:szCs w:val="21"/>
                    </w:rPr>
                  </w:pPr>
                  <w:r>
                    <w:rPr>
                      <w:rFonts w:ascii="宋体" w:hAnsi="宋体" w:eastAsia="宋体" w:cs="宋体"/>
                      <w:sz w:val="21"/>
                      <w:szCs w:val="21"/>
                    </w:rPr>
                    <w:t>配置名称</w:t>
                  </w:r>
                </w:p>
              </w:tc>
              <w:tc>
                <w:tcPr>
                  <w:tcW w:w="1012" w:type="pct"/>
                  <w:tcMar>
                    <w:top w:w="0" w:type="dxa"/>
                    <w:left w:w="105" w:type="dxa"/>
                    <w:bottom w:w="0" w:type="dxa"/>
                    <w:right w:w="105" w:type="dxa"/>
                  </w:tcMar>
                </w:tcPr>
                <w:p w14:paraId="5FC9C5C8">
                  <w:pPr>
                    <w:pStyle w:val="17"/>
                    <w:jc w:val="center"/>
                    <w:rPr>
                      <w:rFonts w:hint="default" w:ascii="宋体" w:hAnsi="宋体" w:eastAsia="宋体" w:cs="宋体"/>
                      <w:sz w:val="21"/>
                      <w:szCs w:val="21"/>
                    </w:rPr>
                  </w:pPr>
                  <w:r>
                    <w:rPr>
                      <w:rFonts w:ascii="宋体" w:hAnsi="宋体" w:eastAsia="宋体" w:cs="宋体"/>
                      <w:sz w:val="21"/>
                      <w:szCs w:val="21"/>
                    </w:rPr>
                    <w:t>单位</w:t>
                  </w:r>
                </w:p>
              </w:tc>
              <w:tc>
                <w:tcPr>
                  <w:tcW w:w="871" w:type="pct"/>
                  <w:tcMar>
                    <w:top w:w="0" w:type="dxa"/>
                    <w:left w:w="105" w:type="dxa"/>
                    <w:bottom w:w="0" w:type="dxa"/>
                    <w:right w:w="105" w:type="dxa"/>
                  </w:tcMar>
                </w:tcPr>
                <w:p w14:paraId="44802962">
                  <w:pPr>
                    <w:pStyle w:val="17"/>
                    <w:jc w:val="center"/>
                    <w:rPr>
                      <w:rFonts w:hint="default" w:ascii="宋体" w:hAnsi="宋体" w:eastAsia="宋体" w:cs="宋体"/>
                      <w:sz w:val="21"/>
                      <w:szCs w:val="21"/>
                    </w:rPr>
                  </w:pPr>
                  <w:r>
                    <w:rPr>
                      <w:rFonts w:ascii="宋体" w:hAnsi="宋体" w:eastAsia="宋体" w:cs="宋体"/>
                      <w:sz w:val="21"/>
                      <w:szCs w:val="21"/>
                    </w:rPr>
                    <w:t>数量</w:t>
                  </w:r>
                </w:p>
              </w:tc>
            </w:tr>
            <w:tr w14:paraId="57EC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54368B7C">
                  <w:pPr>
                    <w:jc w:val="center"/>
                    <w:rPr>
                      <w:rFonts w:ascii="宋体" w:hAnsi="宋体" w:eastAsia="宋体" w:cs="宋体"/>
                      <w:szCs w:val="21"/>
                    </w:rPr>
                  </w:pPr>
                  <w:r>
                    <w:rPr>
                      <w:rFonts w:hint="eastAsia" w:ascii="宋体" w:hAnsi="宋体" w:eastAsia="宋体" w:cs="宋体"/>
                      <w:szCs w:val="21"/>
                    </w:rPr>
                    <w:t>1</w:t>
                  </w:r>
                </w:p>
              </w:tc>
              <w:tc>
                <w:tcPr>
                  <w:tcW w:w="2459" w:type="pct"/>
                  <w:tcMar>
                    <w:top w:w="0" w:type="dxa"/>
                    <w:left w:w="105" w:type="dxa"/>
                    <w:bottom w:w="0" w:type="dxa"/>
                    <w:right w:w="105" w:type="dxa"/>
                  </w:tcMar>
                  <w:vAlign w:val="center"/>
                </w:tcPr>
                <w:p w14:paraId="3E8076AE">
                  <w:pPr>
                    <w:jc w:val="center"/>
                    <w:rPr>
                      <w:rFonts w:ascii="宋体" w:hAnsi="宋体" w:eastAsia="宋体" w:cs="宋体"/>
                      <w:szCs w:val="21"/>
                    </w:rPr>
                  </w:pPr>
                  <w:r>
                    <w:rPr>
                      <w:rFonts w:hint="eastAsia" w:ascii="宋体" w:hAnsi="宋体" w:eastAsia="宋体" w:cs="宋体"/>
                      <w:szCs w:val="21"/>
                    </w:rPr>
                    <w:t>电子鼻主机</w:t>
                  </w:r>
                </w:p>
              </w:tc>
              <w:tc>
                <w:tcPr>
                  <w:tcW w:w="1012" w:type="pct"/>
                  <w:tcMar>
                    <w:top w:w="0" w:type="dxa"/>
                    <w:left w:w="105" w:type="dxa"/>
                    <w:bottom w:w="0" w:type="dxa"/>
                    <w:right w:w="105" w:type="dxa"/>
                  </w:tcMar>
                  <w:vAlign w:val="center"/>
                </w:tcPr>
                <w:p w14:paraId="0A9E3827">
                  <w:pPr>
                    <w:jc w:val="center"/>
                    <w:rPr>
                      <w:rFonts w:ascii="宋体" w:hAnsi="宋体" w:eastAsia="宋体" w:cs="宋体"/>
                      <w:szCs w:val="21"/>
                    </w:rPr>
                  </w:pPr>
                  <w:r>
                    <w:rPr>
                      <w:rFonts w:hint="eastAsia" w:ascii="宋体" w:hAnsi="宋体" w:eastAsia="宋体" w:cs="宋体"/>
                      <w:szCs w:val="21"/>
                    </w:rPr>
                    <w:t>套</w:t>
                  </w:r>
                </w:p>
              </w:tc>
              <w:tc>
                <w:tcPr>
                  <w:tcW w:w="871" w:type="pct"/>
                  <w:tcMar>
                    <w:top w:w="0" w:type="dxa"/>
                    <w:left w:w="105" w:type="dxa"/>
                    <w:bottom w:w="0" w:type="dxa"/>
                    <w:right w:w="105" w:type="dxa"/>
                  </w:tcMar>
                  <w:vAlign w:val="center"/>
                </w:tcPr>
                <w:p w14:paraId="50F9EB8E">
                  <w:pPr>
                    <w:jc w:val="center"/>
                    <w:rPr>
                      <w:rFonts w:ascii="宋体" w:hAnsi="宋体" w:eastAsia="宋体" w:cs="宋体"/>
                      <w:szCs w:val="21"/>
                    </w:rPr>
                  </w:pPr>
                  <w:r>
                    <w:rPr>
                      <w:rFonts w:hint="eastAsia" w:ascii="宋体" w:hAnsi="宋体" w:eastAsia="宋体" w:cs="宋体"/>
                      <w:szCs w:val="21"/>
                    </w:rPr>
                    <w:t>1</w:t>
                  </w:r>
                </w:p>
              </w:tc>
            </w:tr>
            <w:tr w14:paraId="6404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798F0580">
                  <w:pPr>
                    <w:jc w:val="center"/>
                    <w:rPr>
                      <w:rFonts w:ascii="宋体" w:hAnsi="宋体" w:eastAsia="宋体" w:cs="宋体"/>
                      <w:szCs w:val="21"/>
                    </w:rPr>
                  </w:pPr>
                  <w:r>
                    <w:rPr>
                      <w:rFonts w:hint="eastAsia" w:ascii="宋体" w:hAnsi="宋体" w:eastAsia="宋体" w:cs="宋体"/>
                      <w:szCs w:val="21"/>
                    </w:rPr>
                    <w:t>2</w:t>
                  </w:r>
                </w:p>
              </w:tc>
              <w:tc>
                <w:tcPr>
                  <w:tcW w:w="2459" w:type="pct"/>
                  <w:tcMar>
                    <w:top w:w="0" w:type="dxa"/>
                    <w:left w:w="105" w:type="dxa"/>
                    <w:bottom w:w="0" w:type="dxa"/>
                    <w:right w:w="105" w:type="dxa"/>
                  </w:tcMar>
                  <w:vAlign w:val="center"/>
                </w:tcPr>
                <w:p w14:paraId="02F93139">
                  <w:pPr>
                    <w:jc w:val="center"/>
                    <w:rPr>
                      <w:rFonts w:ascii="宋体" w:hAnsi="宋体" w:eastAsia="宋体" w:cs="宋体"/>
                      <w:kern w:val="0"/>
                      <w:szCs w:val="21"/>
                      <w:lang w:bidi="ar"/>
                    </w:rPr>
                  </w:pPr>
                  <w:r>
                    <w:rPr>
                      <w:sz w:val="21"/>
                    </w:rPr>
                    <w:t>金属氧化物传感器（内置于主机中）</w:t>
                  </w:r>
                </w:p>
              </w:tc>
              <w:tc>
                <w:tcPr>
                  <w:tcW w:w="1012" w:type="pct"/>
                  <w:tcMar>
                    <w:top w:w="0" w:type="dxa"/>
                    <w:left w:w="105" w:type="dxa"/>
                    <w:bottom w:w="0" w:type="dxa"/>
                    <w:right w:w="105" w:type="dxa"/>
                  </w:tcMar>
                  <w:vAlign w:val="center"/>
                </w:tcPr>
                <w:p w14:paraId="75534199">
                  <w:pPr>
                    <w:jc w:val="center"/>
                    <w:rPr>
                      <w:rFonts w:ascii="宋体" w:hAnsi="宋体" w:eastAsia="宋体" w:cs="宋体"/>
                      <w:szCs w:val="21"/>
                    </w:rPr>
                  </w:pPr>
                  <w:r>
                    <w:rPr>
                      <w:rFonts w:hint="eastAsia" w:ascii="宋体" w:hAnsi="宋体" w:eastAsia="宋体" w:cs="宋体"/>
                      <w:szCs w:val="21"/>
                    </w:rPr>
                    <w:t>套</w:t>
                  </w:r>
                </w:p>
              </w:tc>
              <w:tc>
                <w:tcPr>
                  <w:tcW w:w="871" w:type="pct"/>
                  <w:tcMar>
                    <w:top w:w="0" w:type="dxa"/>
                    <w:left w:w="105" w:type="dxa"/>
                    <w:bottom w:w="0" w:type="dxa"/>
                    <w:right w:w="105" w:type="dxa"/>
                  </w:tcMar>
                  <w:vAlign w:val="center"/>
                </w:tcPr>
                <w:p w14:paraId="0566423A">
                  <w:pPr>
                    <w:jc w:val="center"/>
                    <w:rPr>
                      <w:rFonts w:ascii="宋体" w:hAnsi="宋体" w:eastAsia="宋体" w:cs="宋体"/>
                      <w:szCs w:val="21"/>
                    </w:rPr>
                  </w:pPr>
                  <w:r>
                    <w:rPr>
                      <w:rFonts w:hint="eastAsia" w:ascii="宋体" w:hAnsi="宋体" w:eastAsia="宋体" w:cs="宋体"/>
                      <w:szCs w:val="21"/>
                    </w:rPr>
                    <w:t>1</w:t>
                  </w:r>
                </w:p>
              </w:tc>
            </w:tr>
            <w:tr w14:paraId="1B4B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0928EFBC">
                  <w:pPr>
                    <w:jc w:val="center"/>
                    <w:rPr>
                      <w:rFonts w:ascii="宋体" w:hAnsi="宋体" w:eastAsia="宋体" w:cs="宋体"/>
                      <w:szCs w:val="21"/>
                    </w:rPr>
                  </w:pPr>
                  <w:r>
                    <w:rPr>
                      <w:rFonts w:hint="eastAsia" w:ascii="宋体" w:hAnsi="宋体" w:eastAsia="宋体" w:cs="宋体"/>
                      <w:szCs w:val="21"/>
                    </w:rPr>
                    <w:t>3</w:t>
                  </w:r>
                </w:p>
              </w:tc>
              <w:tc>
                <w:tcPr>
                  <w:tcW w:w="2459" w:type="pct"/>
                  <w:tcMar>
                    <w:top w:w="0" w:type="dxa"/>
                    <w:left w:w="105" w:type="dxa"/>
                    <w:bottom w:w="0" w:type="dxa"/>
                    <w:right w:w="105" w:type="dxa"/>
                  </w:tcMar>
                  <w:vAlign w:val="center"/>
                </w:tcPr>
                <w:p w14:paraId="7C36522F">
                  <w:pPr>
                    <w:jc w:val="center"/>
                    <w:rPr>
                      <w:rFonts w:ascii="宋体" w:hAnsi="宋体" w:eastAsia="宋体" w:cs="宋体"/>
                      <w:kern w:val="0"/>
                      <w:szCs w:val="21"/>
                      <w:lang w:bidi="ar"/>
                    </w:rPr>
                  </w:pPr>
                  <w:r>
                    <w:rPr>
                      <w:sz w:val="21"/>
                    </w:rPr>
                    <w:t>便携箱</w:t>
                  </w:r>
                </w:p>
              </w:tc>
              <w:tc>
                <w:tcPr>
                  <w:tcW w:w="1012" w:type="pct"/>
                  <w:tcMar>
                    <w:top w:w="0" w:type="dxa"/>
                    <w:left w:w="105" w:type="dxa"/>
                    <w:bottom w:w="0" w:type="dxa"/>
                    <w:right w:w="105" w:type="dxa"/>
                  </w:tcMar>
                  <w:vAlign w:val="center"/>
                </w:tcPr>
                <w:p w14:paraId="6D0503B1">
                  <w:pPr>
                    <w:jc w:val="center"/>
                    <w:rPr>
                      <w:rFonts w:hint="eastAsia" w:ascii="宋体" w:hAnsi="宋体" w:eastAsia="宋体" w:cs="宋体"/>
                      <w:szCs w:val="21"/>
                      <w:lang w:eastAsia="zh-CN"/>
                    </w:rPr>
                  </w:pPr>
                  <w:r>
                    <w:rPr>
                      <w:rFonts w:hint="eastAsia" w:ascii="宋体" w:hAnsi="宋体" w:eastAsia="宋体" w:cs="宋体"/>
                      <w:szCs w:val="21"/>
                      <w:lang w:val="en-US" w:eastAsia="zh-CN"/>
                    </w:rPr>
                    <w:t>个</w:t>
                  </w:r>
                </w:p>
              </w:tc>
              <w:tc>
                <w:tcPr>
                  <w:tcW w:w="871" w:type="pct"/>
                  <w:tcMar>
                    <w:top w:w="0" w:type="dxa"/>
                    <w:left w:w="105" w:type="dxa"/>
                    <w:bottom w:w="0" w:type="dxa"/>
                    <w:right w:w="105" w:type="dxa"/>
                  </w:tcMar>
                  <w:vAlign w:val="center"/>
                </w:tcPr>
                <w:p w14:paraId="71821060">
                  <w:pPr>
                    <w:jc w:val="center"/>
                    <w:rPr>
                      <w:rFonts w:ascii="宋体" w:hAnsi="宋体" w:eastAsia="宋体" w:cs="宋体"/>
                      <w:szCs w:val="21"/>
                    </w:rPr>
                  </w:pPr>
                  <w:r>
                    <w:rPr>
                      <w:rFonts w:hint="eastAsia" w:ascii="宋体" w:hAnsi="宋体" w:eastAsia="宋体" w:cs="宋体"/>
                      <w:szCs w:val="21"/>
                    </w:rPr>
                    <w:t>1</w:t>
                  </w:r>
                </w:p>
              </w:tc>
            </w:tr>
            <w:tr w14:paraId="5861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2837CCC2">
                  <w:pPr>
                    <w:jc w:val="center"/>
                    <w:rPr>
                      <w:rFonts w:ascii="宋体" w:hAnsi="宋体" w:eastAsia="宋体" w:cs="宋体"/>
                      <w:szCs w:val="21"/>
                    </w:rPr>
                  </w:pPr>
                  <w:r>
                    <w:rPr>
                      <w:rFonts w:hint="eastAsia" w:ascii="宋体" w:hAnsi="宋体" w:eastAsia="宋体" w:cs="宋体"/>
                      <w:szCs w:val="21"/>
                    </w:rPr>
                    <w:t>4</w:t>
                  </w:r>
                </w:p>
              </w:tc>
              <w:tc>
                <w:tcPr>
                  <w:tcW w:w="2459" w:type="pct"/>
                  <w:tcMar>
                    <w:top w:w="0" w:type="dxa"/>
                    <w:left w:w="105" w:type="dxa"/>
                    <w:bottom w:w="0" w:type="dxa"/>
                    <w:right w:w="105" w:type="dxa"/>
                  </w:tcMar>
                  <w:vAlign w:val="center"/>
                </w:tcPr>
                <w:p w14:paraId="466F9C10">
                  <w:pPr>
                    <w:jc w:val="center"/>
                    <w:rPr>
                      <w:rFonts w:ascii="宋体" w:hAnsi="宋体" w:eastAsia="宋体" w:cs="宋体"/>
                      <w:kern w:val="0"/>
                      <w:szCs w:val="21"/>
                      <w:lang w:bidi="ar"/>
                    </w:rPr>
                  </w:pPr>
                  <w:r>
                    <w:rPr>
                      <w:sz w:val="21"/>
                    </w:rPr>
                    <w:t>顶空进样杯</w:t>
                  </w:r>
                </w:p>
              </w:tc>
              <w:tc>
                <w:tcPr>
                  <w:tcW w:w="1012" w:type="pct"/>
                  <w:tcMar>
                    <w:top w:w="0" w:type="dxa"/>
                    <w:left w:w="105" w:type="dxa"/>
                    <w:bottom w:w="0" w:type="dxa"/>
                    <w:right w:w="105" w:type="dxa"/>
                  </w:tcMar>
                  <w:vAlign w:val="center"/>
                </w:tcPr>
                <w:p w14:paraId="5376109D">
                  <w:pPr>
                    <w:jc w:val="center"/>
                    <w:rPr>
                      <w:rFonts w:hint="eastAsia" w:ascii="宋体" w:hAnsi="宋体" w:eastAsia="宋体" w:cs="宋体"/>
                      <w:szCs w:val="21"/>
                      <w:lang w:eastAsia="zh-CN"/>
                    </w:rPr>
                  </w:pPr>
                  <w:r>
                    <w:rPr>
                      <w:rFonts w:hint="eastAsia" w:ascii="宋体" w:hAnsi="宋体" w:eastAsia="宋体" w:cs="宋体"/>
                      <w:szCs w:val="21"/>
                      <w:lang w:val="en-US" w:eastAsia="zh-CN"/>
                    </w:rPr>
                    <w:t>个</w:t>
                  </w:r>
                </w:p>
              </w:tc>
              <w:tc>
                <w:tcPr>
                  <w:tcW w:w="871" w:type="pct"/>
                  <w:tcMar>
                    <w:top w:w="0" w:type="dxa"/>
                    <w:left w:w="105" w:type="dxa"/>
                    <w:bottom w:w="0" w:type="dxa"/>
                    <w:right w:w="105" w:type="dxa"/>
                  </w:tcMar>
                  <w:vAlign w:val="center"/>
                </w:tcPr>
                <w:p w14:paraId="02E6AE70">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16</w:t>
                  </w:r>
                </w:p>
              </w:tc>
            </w:tr>
            <w:tr w14:paraId="0023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60C41A18">
                  <w:pPr>
                    <w:jc w:val="center"/>
                    <w:rPr>
                      <w:rFonts w:ascii="宋体" w:hAnsi="宋体" w:eastAsia="宋体" w:cs="宋体"/>
                      <w:szCs w:val="21"/>
                    </w:rPr>
                  </w:pPr>
                  <w:r>
                    <w:rPr>
                      <w:rFonts w:hint="eastAsia" w:ascii="宋体" w:hAnsi="宋体" w:eastAsia="宋体" w:cs="宋体"/>
                      <w:szCs w:val="21"/>
                    </w:rPr>
                    <w:t>5</w:t>
                  </w:r>
                </w:p>
              </w:tc>
              <w:tc>
                <w:tcPr>
                  <w:tcW w:w="2459" w:type="pct"/>
                  <w:tcMar>
                    <w:top w:w="0" w:type="dxa"/>
                    <w:left w:w="105" w:type="dxa"/>
                    <w:bottom w:w="0" w:type="dxa"/>
                    <w:right w:w="105" w:type="dxa"/>
                  </w:tcMar>
                  <w:vAlign w:val="center"/>
                </w:tcPr>
                <w:p w14:paraId="59E6A2B9">
                  <w:pPr>
                    <w:jc w:val="center"/>
                    <w:rPr>
                      <w:rFonts w:ascii="宋体" w:hAnsi="宋体" w:eastAsia="宋体" w:cs="宋体"/>
                      <w:szCs w:val="21"/>
                    </w:rPr>
                  </w:pPr>
                  <w:r>
                    <w:rPr>
                      <w:sz w:val="21"/>
                    </w:rPr>
                    <w:t>针式进样头</w:t>
                  </w:r>
                </w:p>
              </w:tc>
              <w:tc>
                <w:tcPr>
                  <w:tcW w:w="1012" w:type="pct"/>
                  <w:tcMar>
                    <w:top w:w="0" w:type="dxa"/>
                    <w:left w:w="105" w:type="dxa"/>
                    <w:bottom w:w="0" w:type="dxa"/>
                    <w:right w:w="105" w:type="dxa"/>
                  </w:tcMar>
                  <w:vAlign w:val="center"/>
                </w:tcPr>
                <w:p w14:paraId="49CF3E77">
                  <w:pPr>
                    <w:jc w:val="center"/>
                    <w:rPr>
                      <w:rFonts w:hint="eastAsia" w:ascii="宋体" w:hAnsi="宋体" w:eastAsia="宋体" w:cs="宋体"/>
                      <w:szCs w:val="21"/>
                      <w:lang w:eastAsia="zh-CN"/>
                    </w:rPr>
                  </w:pPr>
                  <w:r>
                    <w:rPr>
                      <w:rFonts w:hint="eastAsia" w:ascii="宋体" w:hAnsi="宋体" w:eastAsia="宋体" w:cs="宋体"/>
                      <w:szCs w:val="21"/>
                      <w:lang w:val="en-US" w:eastAsia="zh-CN"/>
                    </w:rPr>
                    <w:t>个</w:t>
                  </w:r>
                </w:p>
              </w:tc>
              <w:tc>
                <w:tcPr>
                  <w:tcW w:w="871" w:type="pct"/>
                  <w:tcMar>
                    <w:top w:w="0" w:type="dxa"/>
                    <w:left w:w="105" w:type="dxa"/>
                    <w:bottom w:w="0" w:type="dxa"/>
                    <w:right w:w="105" w:type="dxa"/>
                  </w:tcMar>
                  <w:vAlign w:val="center"/>
                </w:tcPr>
                <w:p w14:paraId="1098D60B">
                  <w:pPr>
                    <w:jc w:val="center"/>
                    <w:rPr>
                      <w:rFonts w:hint="eastAsia" w:ascii="宋体" w:hAnsi="宋体" w:eastAsia="宋体" w:cs="宋体"/>
                      <w:szCs w:val="21"/>
                      <w:lang w:eastAsia="zh-CN"/>
                    </w:rPr>
                  </w:pPr>
                  <w:r>
                    <w:rPr>
                      <w:rFonts w:hint="eastAsia" w:ascii="宋体" w:hAnsi="宋体" w:eastAsia="宋体" w:cs="宋体"/>
                      <w:szCs w:val="21"/>
                      <w:lang w:val="en-US" w:eastAsia="zh-CN"/>
                    </w:rPr>
                    <w:t>8</w:t>
                  </w:r>
                </w:p>
              </w:tc>
            </w:tr>
            <w:tr w14:paraId="4297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5D4A4419">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6</w:t>
                  </w:r>
                </w:p>
              </w:tc>
              <w:tc>
                <w:tcPr>
                  <w:tcW w:w="2459" w:type="pct"/>
                  <w:tcMar>
                    <w:top w:w="0" w:type="dxa"/>
                    <w:left w:w="105" w:type="dxa"/>
                    <w:bottom w:w="0" w:type="dxa"/>
                    <w:right w:w="105" w:type="dxa"/>
                  </w:tcMar>
                  <w:vAlign w:val="center"/>
                </w:tcPr>
                <w:p w14:paraId="4E9950CE">
                  <w:pPr>
                    <w:jc w:val="center"/>
                    <w:rPr>
                      <w:sz w:val="21"/>
                    </w:rPr>
                  </w:pPr>
                  <w:r>
                    <w:rPr>
                      <w:sz w:val="21"/>
                    </w:rPr>
                    <w:t>数据分析软件</w:t>
                  </w:r>
                </w:p>
              </w:tc>
              <w:tc>
                <w:tcPr>
                  <w:tcW w:w="1012" w:type="pct"/>
                  <w:tcMar>
                    <w:top w:w="0" w:type="dxa"/>
                    <w:left w:w="105" w:type="dxa"/>
                    <w:bottom w:w="0" w:type="dxa"/>
                    <w:right w:w="105" w:type="dxa"/>
                  </w:tcMar>
                  <w:vAlign w:val="center"/>
                </w:tcPr>
                <w:p w14:paraId="3508DDBF">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套</w:t>
                  </w:r>
                </w:p>
              </w:tc>
              <w:tc>
                <w:tcPr>
                  <w:tcW w:w="871" w:type="pct"/>
                  <w:tcMar>
                    <w:top w:w="0" w:type="dxa"/>
                    <w:left w:w="105" w:type="dxa"/>
                    <w:bottom w:w="0" w:type="dxa"/>
                    <w:right w:w="105" w:type="dxa"/>
                  </w:tcMar>
                  <w:vAlign w:val="center"/>
                </w:tcPr>
                <w:p w14:paraId="70F0EBF3">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r>
            <w:tr w14:paraId="5051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2F8C8B2F">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7</w:t>
                  </w:r>
                </w:p>
              </w:tc>
              <w:tc>
                <w:tcPr>
                  <w:tcW w:w="2459" w:type="pct"/>
                  <w:tcMar>
                    <w:top w:w="0" w:type="dxa"/>
                    <w:left w:w="105" w:type="dxa"/>
                    <w:bottom w:w="0" w:type="dxa"/>
                    <w:right w:w="105" w:type="dxa"/>
                  </w:tcMar>
                  <w:vAlign w:val="center"/>
                </w:tcPr>
                <w:p w14:paraId="27200661">
                  <w:pPr>
                    <w:jc w:val="center"/>
                    <w:rPr>
                      <w:sz w:val="21"/>
                    </w:rPr>
                  </w:pPr>
                  <w:r>
                    <w:rPr>
                      <w:sz w:val="21"/>
                    </w:rPr>
                    <w:t>活性炭过滤装置</w:t>
                  </w:r>
                </w:p>
              </w:tc>
              <w:tc>
                <w:tcPr>
                  <w:tcW w:w="1012" w:type="pct"/>
                  <w:tcMar>
                    <w:top w:w="0" w:type="dxa"/>
                    <w:left w:w="105" w:type="dxa"/>
                    <w:bottom w:w="0" w:type="dxa"/>
                    <w:right w:w="105" w:type="dxa"/>
                  </w:tcMar>
                  <w:vAlign w:val="center"/>
                </w:tcPr>
                <w:p w14:paraId="2CC021BE">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个</w:t>
                  </w:r>
                </w:p>
              </w:tc>
              <w:tc>
                <w:tcPr>
                  <w:tcW w:w="871" w:type="pct"/>
                  <w:tcMar>
                    <w:top w:w="0" w:type="dxa"/>
                    <w:left w:w="105" w:type="dxa"/>
                    <w:bottom w:w="0" w:type="dxa"/>
                    <w:right w:w="105" w:type="dxa"/>
                  </w:tcMar>
                  <w:vAlign w:val="center"/>
                </w:tcPr>
                <w:p w14:paraId="139C3644">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r>
            <w:tr w14:paraId="3C0A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45B3CF0E">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8</w:t>
                  </w:r>
                </w:p>
              </w:tc>
              <w:tc>
                <w:tcPr>
                  <w:tcW w:w="2459" w:type="pct"/>
                  <w:tcMar>
                    <w:top w:w="0" w:type="dxa"/>
                    <w:left w:w="105" w:type="dxa"/>
                    <w:bottom w:w="0" w:type="dxa"/>
                    <w:right w:w="105" w:type="dxa"/>
                  </w:tcMar>
                  <w:vAlign w:val="center"/>
                </w:tcPr>
                <w:p w14:paraId="78132001">
                  <w:pPr>
                    <w:jc w:val="center"/>
                    <w:rPr>
                      <w:sz w:val="21"/>
                    </w:rPr>
                  </w:pPr>
                  <w:r>
                    <w:rPr>
                      <w:sz w:val="21"/>
                    </w:rPr>
                    <w:t>电脑连接线和电源连接线</w:t>
                  </w:r>
                </w:p>
              </w:tc>
              <w:tc>
                <w:tcPr>
                  <w:tcW w:w="1012" w:type="pct"/>
                  <w:tcMar>
                    <w:top w:w="0" w:type="dxa"/>
                    <w:left w:w="105" w:type="dxa"/>
                    <w:bottom w:w="0" w:type="dxa"/>
                    <w:right w:w="105" w:type="dxa"/>
                  </w:tcMar>
                  <w:vAlign w:val="center"/>
                </w:tcPr>
                <w:p w14:paraId="402DAAD7">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根</w:t>
                  </w:r>
                </w:p>
              </w:tc>
              <w:tc>
                <w:tcPr>
                  <w:tcW w:w="871" w:type="pct"/>
                  <w:tcMar>
                    <w:top w:w="0" w:type="dxa"/>
                    <w:left w:w="105" w:type="dxa"/>
                    <w:bottom w:w="0" w:type="dxa"/>
                    <w:right w:w="105" w:type="dxa"/>
                  </w:tcMar>
                  <w:vAlign w:val="center"/>
                </w:tcPr>
                <w:p w14:paraId="7A460E36">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r>
            <w:tr w14:paraId="194E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pct"/>
                  <w:tcMar>
                    <w:top w:w="0" w:type="dxa"/>
                    <w:left w:w="105" w:type="dxa"/>
                    <w:bottom w:w="0" w:type="dxa"/>
                    <w:right w:w="105" w:type="dxa"/>
                  </w:tcMar>
                  <w:vAlign w:val="center"/>
                </w:tcPr>
                <w:p w14:paraId="5B204F58">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9</w:t>
                  </w:r>
                </w:p>
              </w:tc>
              <w:tc>
                <w:tcPr>
                  <w:tcW w:w="2459" w:type="pct"/>
                  <w:tcMar>
                    <w:top w:w="0" w:type="dxa"/>
                    <w:left w:w="105" w:type="dxa"/>
                    <w:bottom w:w="0" w:type="dxa"/>
                    <w:right w:w="105" w:type="dxa"/>
                  </w:tcMar>
                  <w:vAlign w:val="center"/>
                </w:tcPr>
                <w:p w14:paraId="6541FA5B">
                  <w:pPr>
                    <w:jc w:val="center"/>
                    <w:rPr>
                      <w:sz w:val="21"/>
                    </w:rPr>
                  </w:pPr>
                  <w:r>
                    <w:rPr>
                      <w:sz w:val="21"/>
                    </w:rPr>
                    <w:t>数据处理工作站</w:t>
                  </w:r>
                </w:p>
              </w:tc>
              <w:tc>
                <w:tcPr>
                  <w:tcW w:w="1012" w:type="pct"/>
                  <w:tcMar>
                    <w:top w:w="0" w:type="dxa"/>
                    <w:left w:w="105" w:type="dxa"/>
                    <w:bottom w:w="0" w:type="dxa"/>
                    <w:right w:w="105" w:type="dxa"/>
                  </w:tcMar>
                  <w:vAlign w:val="center"/>
                </w:tcPr>
                <w:p w14:paraId="41534568">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台</w:t>
                  </w:r>
                </w:p>
              </w:tc>
              <w:tc>
                <w:tcPr>
                  <w:tcW w:w="871" w:type="pct"/>
                  <w:tcMar>
                    <w:top w:w="0" w:type="dxa"/>
                    <w:left w:w="105" w:type="dxa"/>
                    <w:bottom w:w="0" w:type="dxa"/>
                    <w:right w:w="105" w:type="dxa"/>
                  </w:tcMar>
                  <w:vAlign w:val="center"/>
                </w:tcPr>
                <w:p w14:paraId="4AB6F1E7">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1</w:t>
                  </w:r>
                </w:p>
              </w:tc>
            </w:tr>
          </w:tbl>
          <w:p w14:paraId="2FFF33C3">
            <w:pPr>
              <w:jc w:val="left"/>
              <w:rPr>
                <w:rFonts w:asciiTheme="minorEastAsia" w:hAnsiTheme="minorEastAsia"/>
                <w:szCs w:val="21"/>
              </w:rPr>
            </w:pPr>
          </w:p>
        </w:tc>
      </w:tr>
    </w:tbl>
    <w:p w14:paraId="435B9A35">
      <w:pPr>
        <w:rPr>
          <w:rFonts w:hint="eastAsia" w:asciiTheme="minorEastAsia" w:hAnsiTheme="minorEastAsia"/>
          <w:szCs w:val="21"/>
        </w:rPr>
      </w:pPr>
      <w:r>
        <w:rPr>
          <w:rFonts w:hint="eastAsia" w:asciiTheme="minorEastAsia" w:hAnsiTheme="minorEastAsia"/>
          <w:szCs w:val="21"/>
        </w:rPr>
        <w:br w:type="page"/>
      </w:r>
    </w:p>
    <w:p w14:paraId="00ABD320">
      <w:pPr>
        <w:outlineLvl w:val="1"/>
        <w:rPr>
          <w:rFonts w:asciiTheme="minorEastAsia" w:hAnsiTheme="minorEastAsia"/>
          <w:szCs w:val="21"/>
          <w:u w:val="single"/>
        </w:rPr>
      </w:pPr>
      <w:r>
        <w:rPr>
          <w:rFonts w:hint="eastAsia" w:asciiTheme="minorEastAsia" w:hAnsiTheme="minorEastAsia"/>
          <w:szCs w:val="21"/>
        </w:rPr>
        <w:t>附表七：</w:t>
      </w:r>
      <w:r>
        <w:rPr>
          <w:rFonts w:hint="eastAsia" w:asciiTheme="minorEastAsia" w:hAnsiTheme="minorEastAsia"/>
          <w:b/>
          <w:bCs/>
          <w:szCs w:val="21"/>
        </w:rPr>
        <w:t>在线水质自动监测仪</w:t>
      </w:r>
      <w:r>
        <w:rPr>
          <w:rFonts w:hint="eastAsia" w:asciiTheme="minorEastAsia" w:hAnsiTheme="minorEastAsia"/>
          <w:szCs w:val="21"/>
        </w:rPr>
        <w:t xml:space="preserve">  </w:t>
      </w:r>
    </w:p>
    <w:tbl>
      <w:tblPr>
        <w:tblStyle w:val="12"/>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896"/>
        <w:gridCol w:w="6645"/>
      </w:tblGrid>
      <w:tr w14:paraId="1D16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695B896F">
            <w:pPr>
              <w:jc w:val="center"/>
              <w:rPr>
                <w:rFonts w:asciiTheme="minorEastAsia" w:hAnsiTheme="minorEastAsia"/>
                <w:b/>
                <w:szCs w:val="21"/>
              </w:rPr>
            </w:pPr>
            <w:r>
              <w:rPr>
                <w:rFonts w:hint="eastAsia" w:asciiTheme="minorEastAsia" w:hAnsiTheme="minorEastAsia"/>
                <w:b/>
                <w:szCs w:val="21"/>
              </w:rPr>
              <w:t>参数性质</w:t>
            </w:r>
          </w:p>
        </w:tc>
        <w:tc>
          <w:tcPr>
            <w:tcW w:w="896" w:type="dxa"/>
          </w:tcPr>
          <w:p w14:paraId="5EADD4EE">
            <w:pPr>
              <w:jc w:val="center"/>
              <w:rPr>
                <w:rFonts w:asciiTheme="minorEastAsia" w:hAnsiTheme="minorEastAsia"/>
                <w:b/>
                <w:szCs w:val="21"/>
              </w:rPr>
            </w:pPr>
            <w:r>
              <w:rPr>
                <w:rFonts w:hint="eastAsia" w:asciiTheme="minorEastAsia" w:hAnsiTheme="minorEastAsia"/>
                <w:b/>
                <w:szCs w:val="21"/>
              </w:rPr>
              <w:t>编号</w:t>
            </w:r>
          </w:p>
        </w:tc>
        <w:tc>
          <w:tcPr>
            <w:tcW w:w="6645" w:type="dxa"/>
          </w:tcPr>
          <w:p w14:paraId="210DD3E0">
            <w:pPr>
              <w:jc w:val="center"/>
              <w:rPr>
                <w:rFonts w:asciiTheme="minorEastAsia" w:hAnsiTheme="minorEastAsia"/>
                <w:b/>
                <w:szCs w:val="21"/>
              </w:rPr>
            </w:pPr>
            <w:r>
              <w:rPr>
                <w:rFonts w:hint="eastAsia" w:asciiTheme="minorEastAsia" w:hAnsiTheme="minorEastAsia"/>
                <w:b/>
                <w:szCs w:val="21"/>
              </w:rPr>
              <w:t>具体技术(参数)要求</w:t>
            </w:r>
          </w:p>
        </w:tc>
      </w:tr>
      <w:tr w14:paraId="3853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2189D5D9">
            <w:pPr>
              <w:jc w:val="center"/>
              <w:rPr>
                <w:rFonts w:asciiTheme="minorEastAsia" w:hAnsiTheme="minorEastAsia"/>
                <w:szCs w:val="21"/>
              </w:rPr>
            </w:pPr>
          </w:p>
        </w:tc>
        <w:tc>
          <w:tcPr>
            <w:tcW w:w="896" w:type="dxa"/>
          </w:tcPr>
          <w:p w14:paraId="6251D12C">
            <w:pPr>
              <w:tabs>
                <w:tab w:val="left" w:pos="0"/>
              </w:tabs>
              <w:ind w:left="420" w:hanging="420"/>
              <w:jc w:val="center"/>
              <w:rPr>
                <w:rFonts w:asciiTheme="minorEastAsia" w:hAnsiTheme="minorEastAsia"/>
                <w:szCs w:val="21"/>
              </w:rPr>
            </w:pPr>
          </w:p>
        </w:tc>
        <w:tc>
          <w:tcPr>
            <w:tcW w:w="6645" w:type="dxa"/>
          </w:tcPr>
          <w:p w14:paraId="12FE47F6">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一、用途</w:t>
            </w:r>
          </w:p>
          <w:p w14:paraId="65A80838">
            <w:pPr>
              <w:spacing w:line="360" w:lineRule="auto"/>
              <w:ind w:firstLine="420" w:firstLineChars="200"/>
              <w:rPr>
                <w:rFonts w:cs="仿宋" w:asciiTheme="minorEastAsia" w:hAnsiTheme="minorEastAsia"/>
                <w:color w:val="auto"/>
                <w:szCs w:val="21"/>
                <w:lang w:bidi="ar"/>
              </w:rPr>
            </w:pPr>
            <w:r>
              <w:rPr>
                <w:rFonts w:hint="eastAsia" w:cs="仿宋" w:asciiTheme="minorEastAsia" w:hAnsiTheme="minorEastAsia"/>
                <w:szCs w:val="21"/>
                <w:lang w:bidi="ar"/>
              </w:rPr>
              <w:t>本产品应用于企业污水、生活污水、地表水、养殖水的监测。CODmn采用耐酸性高锰酸钾分分光光度法；总磷采用钼酸铵分光光度法；总氮采用碱性过硫酸钾分光光度法；pH采用玻璃电极法，悬浮物采用流通式与沉入式两种方法可选</w:t>
            </w:r>
            <w:r>
              <w:rPr>
                <w:rFonts w:hint="eastAsia" w:cs="仿宋" w:asciiTheme="minorEastAsia" w:hAnsiTheme="minorEastAsia"/>
                <w:color w:val="auto"/>
                <w:szCs w:val="21"/>
                <w:lang w:bidi="ar"/>
              </w:rPr>
              <w:t>。</w:t>
            </w:r>
          </w:p>
          <w:p w14:paraId="0CCCF193">
            <w:pPr>
              <w:spacing w:line="360" w:lineRule="auto"/>
              <w:ind w:firstLine="210" w:firstLineChars="100"/>
              <w:rPr>
                <w:rFonts w:cs="仿宋" w:asciiTheme="minorEastAsia" w:hAnsiTheme="minorEastAsia"/>
                <w:color w:val="auto"/>
                <w:szCs w:val="21"/>
                <w:lang w:bidi="ar"/>
              </w:rPr>
            </w:pPr>
            <w:r>
              <w:rPr>
                <w:rFonts w:hint="eastAsia" w:cs="仿宋" w:asciiTheme="minorEastAsia" w:hAnsiTheme="minorEastAsia"/>
                <w:color w:val="auto"/>
                <w:szCs w:val="21"/>
                <w:lang w:bidi="ar"/>
              </w:rPr>
              <w:t>二、技术参数</w:t>
            </w:r>
            <w:bookmarkStart w:id="1" w:name="_GoBack"/>
            <w:bookmarkEnd w:id="1"/>
          </w:p>
          <w:p w14:paraId="33E5EFA3">
            <w:pPr>
              <w:pStyle w:val="7"/>
              <w:ind w:firstLine="210" w:firstLineChars="100"/>
              <w:rPr>
                <w:rFonts w:hint="eastAsia" w:cs="仿宋" w:asciiTheme="minorEastAsia" w:hAnsiTheme="minorEastAsia" w:eastAsiaTheme="minorEastAsia"/>
                <w:color w:val="auto"/>
                <w:kern w:val="2"/>
                <w:sz w:val="21"/>
                <w:szCs w:val="21"/>
                <w:highlight w:val="none"/>
                <w:lang w:val="en-US" w:eastAsia="zh-CN" w:bidi="ar"/>
              </w:rPr>
            </w:pPr>
            <w:r>
              <w:rPr>
                <w:rFonts w:hint="eastAsia" w:cs="仿宋" w:asciiTheme="minorEastAsia" w:hAnsiTheme="minorEastAsia" w:eastAsiaTheme="minorEastAsia"/>
                <w:color w:val="auto"/>
                <w:kern w:val="2"/>
                <w:sz w:val="21"/>
                <w:szCs w:val="21"/>
                <w:highlight w:val="none"/>
                <w:lang w:val="en-US" w:eastAsia="zh-CN" w:bidi="ar"/>
              </w:rPr>
              <w:t>▲1、CODcr在线监测仪产品具有CMA检测报告（标准(方法)名称为：化学需氧量(CODCr)水质在线自动监测仪技术要求及检测方法，标准编号(含年号)/文件号为：HJ377-2019）。</w:t>
            </w:r>
          </w:p>
          <w:p w14:paraId="1FFE3BB7">
            <w:pPr>
              <w:pStyle w:val="7"/>
              <w:ind w:firstLine="420" w:firstLineChars="200"/>
              <w:rPr>
                <w:rFonts w:hint="eastAsia" w:cs="仿宋" w:asciiTheme="minorEastAsia" w:hAnsiTheme="minorEastAsia" w:eastAsiaTheme="minorEastAsia"/>
                <w:color w:val="auto"/>
                <w:kern w:val="2"/>
                <w:sz w:val="21"/>
                <w:szCs w:val="21"/>
                <w:lang w:val="en-US" w:eastAsia="zh-CN" w:bidi="ar"/>
              </w:rPr>
            </w:pPr>
            <w:r>
              <w:rPr>
                <w:rFonts w:hint="eastAsia" w:cs="仿宋" w:asciiTheme="minorEastAsia" w:hAnsiTheme="minorEastAsia" w:eastAsiaTheme="minorEastAsia"/>
                <w:color w:val="auto"/>
                <w:kern w:val="2"/>
                <w:sz w:val="21"/>
                <w:szCs w:val="21"/>
                <w:lang w:val="en-US" w:eastAsia="zh-CN" w:bidi="ar"/>
              </w:rPr>
              <w:t>2、产品体积减小，自动化程度高。</w:t>
            </w:r>
          </w:p>
          <w:p w14:paraId="616E9078">
            <w:pPr>
              <w:spacing w:line="360" w:lineRule="auto"/>
              <w:ind w:firstLine="420" w:firstLineChars="200"/>
              <w:rPr>
                <w:rFonts w:cs="仿宋" w:asciiTheme="minorEastAsia" w:hAnsiTheme="minorEastAsia"/>
                <w:szCs w:val="21"/>
                <w:lang w:bidi="ar"/>
              </w:rPr>
            </w:pPr>
            <w:r>
              <w:rPr>
                <w:rFonts w:hint="eastAsia" w:cs="仿宋" w:asciiTheme="minorEastAsia" w:hAnsiTheme="minorEastAsia" w:eastAsiaTheme="minorEastAsia"/>
                <w:color w:val="auto"/>
                <w:kern w:val="2"/>
                <w:sz w:val="21"/>
                <w:szCs w:val="21"/>
                <w:lang w:val="en-US" w:eastAsia="zh-CN" w:bidi="ar"/>
              </w:rPr>
              <w:t>3、仪器具有自动标</w:t>
            </w:r>
            <w:r>
              <w:rPr>
                <w:rFonts w:hint="eastAsia" w:cs="仿宋" w:asciiTheme="minorEastAsia" w:hAnsiTheme="minorEastAsia"/>
                <w:color w:val="auto"/>
                <w:szCs w:val="21"/>
                <w:lang w:bidi="ar"/>
              </w:rPr>
              <w:t>定，量程自</w:t>
            </w:r>
            <w:r>
              <w:rPr>
                <w:rFonts w:hint="eastAsia" w:cs="仿宋" w:asciiTheme="minorEastAsia" w:hAnsiTheme="minorEastAsia"/>
                <w:szCs w:val="21"/>
                <w:lang w:bidi="ar"/>
              </w:rPr>
              <w:t>动切换，缺液报警，故障报警等功能。</w:t>
            </w:r>
          </w:p>
          <w:p w14:paraId="12352AC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4、具有清洗废液和测定废液分开处理功能。</w:t>
            </w:r>
          </w:p>
          <w:p w14:paraId="34D70C5C">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5、多种测量模式可以选择:(定点模式、间隔模式、周期模式、外部触发模式等)</w:t>
            </w:r>
          </w:p>
          <w:p w14:paraId="29FD6CEE">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6、试剂配方，对离子、浊度、色度等具备抗干扰能力。</w:t>
            </w:r>
          </w:p>
          <w:p w14:paraId="00BF1AD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7、试剂用量</w:t>
            </w:r>
            <w:r>
              <w:rPr>
                <w:rFonts w:hint="eastAsia" w:cs="仿宋" w:asciiTheme="minorEastAsia" w:hAnsiTheme="minorEastAsia"/>
                <w:szCs w:val="21"/>
                <w:lang w:val="en-US" w:eastAsia="zh-CN" w:bidi="ar"/>
              </w:rPr>
              <w:t>每次5ml</w:t>
            </w:r>
            <w:r>
              <w:rPr>
                <w:rFonts w:hint="eastAsia"/>
                <w:lang w:eastAsia="zh-CN"/>
              </w:rPr>
              <w:t>、</w:t>
            </w:r>
            <w:r>
              <w:rPr>
                <w:rFonts w:hint="eastAsia" w:cs="仿宋" w:asciiTheme="minorEastAsia" w:hAnsiTheme="minorEastAsia"/>
                <w:szCs w:val="21"/>
                <w:lang w:val="en-US" w:eastAsia="zh-CN" w:bidi="ar"/>
              </w:rPr>
              <w:t>±10%取液量</w:t>
            </w:r>
            <w:r>
              <w:rPr>
                <w:rFonts w:hint="eastAsia" w:cs="仿宋" w:asciiTheme="minorEastAsia" w:hAnsiTheme="minorEastAsia"/>
                <w:szCs w:val="21"/>
                <w:lang w:bidi="ar"/>
              </w:rPr>
              <w:t>。</w:t>
            </w:r>
          </w:p>
          <w:p w14:paraId="022770A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8、光电定量装置，具备抗干扰能力。</w:t>
            </w:r>
          </w:p>
          <w:p w14:paraId="4A92329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9、冷光源，光强无衰减，寿命可达10年以上。</w:t>
            </w:r>
          </w:p>
          <w:p w14:paraId="1CD04F77">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▲10、接收器采用</w:t>
            </w:r>
            <w:r>
              <w:rPr>
                <w:rFonts w:hint="eastAsia" w:cs="仿宋" w:asciiTheme="minorEastAsia" w:hAnsiTheme="minorEastAsia"/>
                <w:szCs w:val="21"/>
                <w:lang w:val="en-US" w:eastAsia="zh-CN" w:bidi="ar"/>
              </w:rPr>
              <w:t>精密</w:t>
            </w:r>
            <w:r>
              <w:rPr>
                <w:rFonts w:hint="eastAsia" w:cs="仿宋" w:asciiTheme="minorEastAsia" w:hAnsiTheme="minorEastAsia"/>
                <w:szCs w:val="21"/>
                <w:lang w:bidi="ar"/>
              </w:rPr>
              <w:t>原件，精度</w:t>
            </w:r>
            <w:r>
              <w:rPr>
                <w:rFonts w:hint="eastAsia" w:cs="仿宋" w:asciiTheme="minorEastAsia" w:hAnsiTheme="minorEastAsia"/>
                <w:szCs w:val="21"/>
                <w:lang w:val="en-US" w:eastAsia="zh-CN" w:bidi="ar"/>
              </w:rPr>
              <w:t>可控范围±5%</w:t>
            </w:r>
            <w:r>
              <w:rPr>
                <w:rFonts w:hint="eastAsia" w:cs="仿宋" w:asciiTheme="minorEastAsia" w:hAnsiTheme="minorEastAsia"/>
                <w:szCs w:val="21"/>
                <w:lang w:bidi="ar"/>
              </w:rPr>
              <w:t>，</w:t>
            </w:r>
            <w:r>
              <w:rPr>
                <w:rFonts w:hint="eastAsia" w:cs="仿宋" w:asciiTheme="minorEastAsia" w:hAnsiTheme="minorEastAsia"/>
                <w:szCs w:val="21"/>
                <w:lang w:val="en-US" w:eastAsia="zh-CN" w:bidi="ar"/>
              </w:rPr>
              <w:t>漂移范围±5%F.S</w:t>
            </w:r>
            <w:r>
              <w:rPr>
                <w:rFonts w:hint="eastAsia" w:cs="仿宋" w:asciiTheme="minorEastAsia" w:hAnsiTheme="minorEastAsia"/>
                <w:szCs w:val="21"/>
                <w:lang w:bidi="ar"/>
              </w:rPr>
              <w:t>。</w:t>
            </w:r>
          </w:p>
          <w:p w14:paraId="5E577F7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11、控制系统采用控制系统采用模块化可编程逻辑控制器（PLC），具备抗干扰能力能力。</w:t>
            </w:r>
          </w:p>
          <w:p w14:paraId="6C1C39EA">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12、触摸屏采用</w:t>
            </w:r>
            <w:r>
              <w:rPr>
                <w:rFonts w:hint="eastAsia"/>
              </w:rPr>
              <w:t>≥</w:t>
            </w:r>
            <w:r>
              <w:rPr>
                <w:rFonts w:hint="eastAsia" w:cs="仿宋" w:asciiTheme="minorEastAsia" w:hAnsiTheme="minorEastAsia"/>
                <w:szCs w:val="21"/>
                <w:lang w:bidi="ar"/>
              </w:rPr>
              <w:t>7寸触摸屏,适应各种复杂环境。</w:t>
            </w:r>
          </w:p>
          <w:p w14:paraId="25B2D5F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13、水管件材质采用耐强酸强碱的PTFE材料。</w:t>
            </w:r>
          </w:p>
          <w:p w14:paraId="4AFFE81C">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14、消解室采用一体阀设计。可耐高温</w:t>
            </w:r>
            <w:r>
              <w:rPr>
                <w:rFonts w:hint="eastAsia"/>
              </w:rPr>
              <w:t>≥</w:t>
            </w:r>
            <w:r>
              <w:rPr>
                <w:rFonts w:hint="eastAsia" w:cs="仿宋" w:asciiTheme="minorEastAsia" w:hAnsiTheme="minorEastAsia"/>
                <w:szCs w:val="21"/>
                <w:lang w:bidi="ar"/>
              </w:rPr>
              <w:t>200℃,高压</w:t>
            </w:r>
            <w:r>
              <w:rPr>
                <w:rFonts w:hint="eastAsia"/>
              </w:rPr>
              <w:t>≥</w:t>
            </w:r>
            <w:r>
              <w:rPr>
                <w:rFonts w:hint="eastAsia" w:cs="仿宋" w:asciiTheme="minorEastAsia" w:hAnsiTheme="minorEastAsia"/>
                <w:szCs w:val="21"/>
                <w:lang w:bidi="ar"/>
              </w:rPr>
              <w:t>2Mpa。</w:t>
            </w:r>
          </w:p>
          <w:p w14:paraId="74DEE891">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▲15、(选配)打印功能。</w:t>
            </w:r>
          </w:p>
          <w:p w14:paraId="70451672">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▲16、(选配)物联网反控功能，可以手机APP远程操控，具有运维和售后功能。</w:t>
            </w:r>
          </w:p>
          <w:p w14:paraId="49DC45D0">
            <w:pPr>
              <w:spacing w:line="360" w:lineRule="auto"/>
              <w:rPr>
                <w:rFonts w:cs="仿宋" w:asciiTheme="minorEastAsia" w:hAnsiTheme="minorEastAsia"/>
                <w:szCs w:val="21"/>
                <w:lang w:bidi="ar"/>
              </w:rPr>
            </w:pPr>
            <w:r>
              <w:rPr>
                <w:rFonts w:hint="eastAsia" w:cs="仿宋" w:asciiTheme="minorEastAsia" w:hAnsiTheme="minorEastAsia"/>
                <w:szCs w:val="21"/>
                <w:lang w:val="en-US" w:eastAsia="zh-CN" w:bidi="ar"/>
              </w:rPr>
              <w:t>三</w:t>
            </w:r>
            <w:r>
              <w:rPr>
                <w:rFonts w:hint="eastAsia" w:cs="仿宋" w:asciiTheme="minorEastAsia" w:hAnsiTheme="minorEastAsia"/>
                <w:szCs w:val="21"/>
                <w:lang w:bidi="ar"/>
              </w:rPr>
              <w:t>、仪器参数：</w:t>
            </w:r>
            <w:r>
              <w:rPr>
                <w:rFonts w:hint="eastAsia" w:cs="仿宋" w:asciiTheme="minorEastAsia" w:hAnsiTheme="minorEastAsia"/>
                <w:color w:val="000000" w:themeColor="text1"/>
                <w:szCs w:val="21"/>
                <w:lang w:eastAsia="zh-CN" w:bidi="ar"/>
                <w14:textFill>
                  <w14:solidFill>
                    <w14:schemeClr w14:val="tx1"/>
                  </w14:solidFill>
                </w14:textFill>
              </w:rPr>
              <w:t>（</w:t>
            </w:r>
            <w:r>
              <w:rPr>
                <w:rFonts w:hint="eastAsia" w:cs="仿宋" w:asciiTheme="minorEastAsia" w:hAnsiTheme="minorEastAsia"/>
                <w:color w:val="000000" w:themeColor="text1"/>
                <w:szCs w:val="21"/>
                <w:lang w:val="en-US" w:eastAsia="zh-CN" w:bidi="ar"/>
                <w14:textFill>
                  <w14:solidFill>
                    <w14:schemeClr w14:val="tx1"/>
                  </w14:solidFill>
                </w14:textFill>
              </w:rPr>
              <w:t>相应量程范围与误差值可提供校准证书佐证</w:t>
            </w:r>
            <w:r>
              <w:rPr>
                <w:rFonts w:hint="eastAsia" w:cs="仿宋" w:asciiTheme="minorEastAsia" w:hAnsiTheme="minorEastAsia"/>
                <w:color w:val="000000" w:themeColor="text1"/>
                <w:szCs w:val="21"/>
                <w:lang w:eastAsia="zh-CN" w:bidi="ar"/>
                <w14:textFill>
                  <w14:solidFill>
                    <w14:schemeClr w14:val="tx1"/>
                  </w14:solidFill>
                </w14:textFill>
              </w:rPr>
              <w:t>）</w:t>
            </w:r>
          </w:p>
          <w:p w14:paraId="4A739635">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▲1、CODmn自动监测仪量程范围至少涵盖：0～5mg/L、0～20mg/L（量程可扩展）；</w:t>
            </w:r>
          </w:p>
          <w:p w14:paraId="32F4A06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零点漂移：±5%；</w:t>
            </w:r>
          </w:p>
          <w:p w14:paraId="2AE2C4DF">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量程漂移：±5%；</w:t>
            </w:r>
          </w:p>
          <w:p w14:paraId="639B2B4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示误差值：±8%以内；</w:t>
            </w:r>
          </w:p>
          <w:p w14:paraId="619140C1">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测试周期：≤60min；</w:t>
            </w:r>
          </w:p>
          <w:p w14:paraId="589BD11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重复性：≤5%；</w:t>
            </w:r>
          </w:p>
          <w:p w14:paraId="3CA5EAA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显示屏：</w:t>
            </w:r>
            <w:r>
              <w:rPr>
                <w:rFonts w:hint="eastAsia"/>
              </w:rPr>
              <w:t>≥</w:t>
            </w:r>
            <w:r>
              <w:rPr>
                <w:rFonts w:hint="eastAsia" w:cs="仿宋" w:asciiTheme="minorEastAsia" w:hAnsiTheme="minorEastAsia"/>
                <w:szCs w:val="21"/>
                <w:lang w:bidi="ar"/>
              </w:rPr>
              <w:t>7寸；</w:t>
            </w:r>
          </w:p>
          <w:p w14:paraId="5E18F238">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▲2、总磷自动监测仪量程范围至少涵盖：0～2mg/L、1～10mg/L、5～50mg/L（量程可扩展）；</w:t>
            </w:r>
          </w:p>
          <w:p w14:paraId="757659B3">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零点漂移：±5%；</w:t>
            </w:r>
          </w:p>
          <w:p w14:paraId="634F9E7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量程漂移：±5%；</w:t>
            </w:r>
          </w:p>
          <w:p w14:paraId="58446FD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示误差值：±8%以内；</w:t>
            </w:r>
          </w:p>
          <w:p w14:paraId="40F980F7">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测试周期：≤60min；</w:t>
            </w:r>
          </w:p>
          <w:p w14:paraId="50BF6BAF">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重复性：≤5%；</w:t>
            </w:r>
          </w:p>
          <w:p w14:paraId="3160F75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显示屏：</w:t>
            </w:r>
            <w:r>
              <w:rPr>
                <w:rFonts w:hint="eastAsia"/>
              </w:rPr>
              <w:t>≥</w:t>
            </w:r>
            <w:r>
              <w:rPr>
                <w:rFonts w:hint="eastAsia" w:cs="仿宋" w:asciiTheme="minorEastAsia" w:hAnsiTheme="minorEastAsia"/>
                <w:szCs w:val="21"/>
                <w:lang w:bidi="ar"/>
              </w:rPr>
              <w:t>7寸。</w:t>
            </w:r>
          </w:p>
          <w:p w14:paraId="0BEC2B0B">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▲3、总氮自动监测仪量程范围至少涵盖：0～20mg/L、2～40mg/L、10～200mg/L（量程可扩展）；</w:t>
            </w:r>
          </w:p>
          <w:p w14:paraId="680D249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零点漂移：±5%；</w:t>
            </w:r>
          </w:p>
          <w:p w14:paraId="0DE57A4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量程漂移：±5%；</w:t>
            </w:r>
          </w:p>
          <w:p w14:paraId="6DC11B58">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示误差值：±8%以内；</w:t>
            </w:r>
          </w:p>
          <w:p w14:paraId="4F49C29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测试周期：≤60min；</w:t>
            </w:r>
          </w:p>
          <w:p w14:paraId="7D4916FA">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重复性：≤5%；</w:t>
            </w:r>
          </w:p>
          <w:p w14:paraId="2EBFD03B">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显示屏：</w:t>
            </w:r>
            <w:r>
              <w:rPr>
                <w:rFonts w:hint="eastAsia"/>
              </w:rPr>
              <w:t>≥</w:t>
            </w:r>
            <w:r>
              <w:rPr>
                <w:rFonts w:hint="eastAsia" w:cs="仿宋" w:asciiTheme="minorEastAsia" w:hAnsiTheme="minorEastAsia"/>
                <w:szCs w:val="21"/>
                <w:lang w:bidi="ar"/>
              </w:rPr>
              <w:t>7寸。</w:t>
            </w:r>
          </w:p>
          <w:p w14:paraId="50FCE31E">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▲4、pH自动检测仪量程范围至少涵盖：0～14pH；</w:t>
            </w:r>
          </w:p>
          <w:p w14:paraId="5E3CE7F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显示方式：LCD液晶显示；</w:t>
            </w:r>
          </w:p>
          <w:p w14:paraId="4F1064D1">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分 辨 率：</w:t>
            </w:r>
            <w:r>
              <w:rPr>
                <w:rFonts w:hint="eastAsia"/>
              </w:rPr>
              <w:t>≤</w:t>
            </w:r>
            <w:r>
              <w:rPr>
                <w:rFonts w:hint="eastAsia" w:cs="仿宋" w:asciiTheme="minorEastAsia" w:hAnsiTheme="minorEastAsia"/>
                <w:szCs w:val="21"/>
                <w:lang w:bidi="ar"/>
              </w:rPr>
              <w:t>0.01pH；</w:t>
            </w:r>
          </w:p>
          <w:p w14:paraId="695611D8">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精 确 度：</w:t>
            </w:r>
            <w:r>
              <w:rPr>
                <w:rFonts w:hint="eastAsia"/>
              </w:rPr>
              <w:t>≤</w:t>
            </w:r>
            <w:r>
              <w:rPr>
                <w:rFonts w:hint="eastAsia" w:cs="仿宋" w:asciiTheme="minorEastAsia" w:hAnsiTheme="minorEastAsia"/>
                <w:szCs w:val="21"/>
                <w:lang w:bidi="ar"/>
              </w:rPr>
              <w:t>0.05pH；</w:t>
            </w:r>
          </w:p>
          <w:p w14:paraId="43AF9A7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重 复 性：±0.1；</w:t>
            </w:r>
          </w:p>
          <w:p w14:paraId="35F6A26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稳 定 性：±0.1；</w:t>
            </w:r>
          </w:p>
          <w:p w14:paraId="7A7D5984">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环境温度至少涵盖：-20～60℃；</w:t>
            </w:r>
          </w:p>
          <w:p w14:paraId="63EC7CC9">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相对湿度至少涵盖：（65±20）%。</w:t>
            </w:r>
          </w:p>
          <w:p w14:paraId="191C3847">
            <w:pPr>
              <w:spacing w:line="360" w:lineRule="auto"/>
              <w:ind w:firstLine="210" w:firstLineChars="100"/>
              <w:rPr>
                <w:rFonts w:cs="仿宋" w:asciiTheme="minorEastAsia" w:hAnsiTheme="minorEastAsia"/>
                <w:szCs w:val="21"/>
                <w:lang w:bidi="ar"/>
              </w:rPr>
            </w:pPr>
            <w:r>
              <w:rPr>
                <w:rFonts w:hint="eastAsia" w:cs="仿宋" w:asciiTheme="minorEastAsia" w:hAnsiTheme="minorEastAsia"/>
                <w:szCs w:val="21"/>
                <w:lang w:bidi="ar"/>
              </w:rPr>
              <w:t>▲5、悬浮物自动监测仪量程范围至少涵盖：0～100mg/L（流通式，需水量充足方可使用）；</w:t>
            </w:r>
          </w:p>
          <w:p w14:paraId="3D7C5216">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至少涵盖0～5000mg/L（沉入式）；</w:t>
            </w:r>
          </w:p>
          <w:p w14:paraId="01A59623">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显示方式：LCD液晶显示；</w:t>
            </w:r>
          </w:p>
          <w:p w14:paraId="1C12F4C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测量单位：mg/L和NTU可选；</w:t>
            </w:r>
          </w:p>
          <w:p w14:paraId="783F034B">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分 辨 率：</w:t>
            </w:r>
            <w:r>
              <w:rPr>
                <w:rFonts w:hint="eastAsia"/>
              </w:rPr>
              <w:t>≤</w:t>
            </w:r>
            <w:r>
              <w:rPr>
                <w:rFonts w:hint="eastAsia" w:cs="仿宋" w:asciiTheme="minorEastAsia" w:hAnsiTheme="minorEastAsia"/>
                <w:szCs w:val="21"/>
                <w:lang w:bidi="ar"/>
              </w:rPr>
              <w:t>0.1NTU；</w:t>
            </w:r>
          </w:p>
          <w:p w14:paraId="6DC02837">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精 确 度：±1.0%FS；</w:t>
            </w:r>
          </w:p>
          <w:p w14:paraId="0F3BDBC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重 复 性：±1.0%FS；</w:t>
            </w:r>
          </w:p>
          <w:p w14:paraId="5C3FAF3D">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环境温度至少涵盖：-20～60℃；</w:t>
            </w:r>
          </w:p>
          <w:p w14:paraId="1ED0F802">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相对湿度至少涵盖：（65±20）%；</w:t>
            </w:r>
          </w:p>
          <w:p w14:paraId="7FF1DF30">
            <w:pPr>
              <w:spacing w:line="360" w:lineRule="auto"/>
              <w:ind w:firstLine="420" w:firstLineChars="200"/>
              <w:rPr>
                <w:rFonts w:cs="仿宋" w:asciiTheme="minorEastAsia" w:hAnsiTheme="minorEastAsia"/>
                <w:szCs w:val="21"/>
                <w:lang w:bidi="ar"/>
              </w:rPr>
            </w:pPr>
            <w:r>
              <w:rPr>
                <w:rFonts w:hint="eastAsia" w:cs="仿宋" w:asciiTheme="minorEastAsia" w:hAnsiTheme="minorEastAsia"/>
                <w:szCs w:val="21"/>
                <w:lang w:bidi="ar"/>
              </w:rPr>
              <w:t>水站整体外观尺寸（长、宽、高）：（2020×1420×980mm）±10mm</w:t>
            </w:r>
            <w:r>
              <w:rPr>
                <w:rFonts w:hint="eastAsia"/>
              </w:rPr>
              <w:t>。</w:t>
            </w:r>
          </w:p>
          <w:p w14:paraId="1FA61BD8">
            <w:pPr>
              <w:spacing w:line="360" w:lineRule="auto"/>
              <w:ind w:firstLine="420" w:firstLineChars="200"/>
              <w:rPr>
                <w:color w:val="auto"/>
              </w:rPr>
            </w:pPr>
            <w:r>
              <w:rPr>
                <w:rFonts w:hint="eastAsia" w:cs="仿宋" w:asciiTheme="minorEastAsia" w:hAnsiTheme="minorEastAsia"/>
                <w:szCs w:val="21"/>
                <w:lang w:bidi="ar"/>
              </w:rPr>
              <w:t>此设备需提供6平方米的平台，地面平整、由水泥砌成平面，旁边挂上警示牌，警示牌（内容：贵重物品、谨防破坏等）旁边必须配备220</w:t>
            </w:r>
            <w:r>
              <w:rPr>
                <w:rFonts w:hint="eastAsia" w:cs="仿宋" w:asciiTheme="minorEastAsia" w:hAnsiTheme="minorEastAsia"/>
                <w:color w:val="auto"/>
                <w:szCs w:val="21"/>
                <w:lang w:bidi="ar"/>
              </w:rPr>
              <w:t>V电源，总功率不得低于2.5千瓦，用于测试废液需集中处理。</w:t>
            </w:r>
          </w:p>
          <w:p w14:paraId="21303C85">
            <w:pPr>
              <w:spacing w:line="360" w:lineRule="auto"/>
              <w:ind w:firstLine="420" w:firstLineChars="200"/>
              <w:rPr>
                <w:rFonts w:hint="eastAsia" w:cs="仿宋" w:asciiTheme="minorEastAsia" w:hAnsiTheme="minorEastAsia"/>
                <w:color w:val="auto"/>
                <w:szCs w:val="21"/>
                <w:lang w:bidi="ar"/>
              </w:rPr>
            </w:pPr>
            <w:r>
              <w:rPr>
                <w:rFonts w:hint="eastAsia" w:cs="仿宋" w:asciiTheme="minorEastAsia" w:hAnsiTheme="minorEastAsia"/>
                <w:color w:val="auto"/>
                <w:szCs w:val="21"/>
                <w:lang w:val="en-US" w:eastAsia="zh-CN" w:bidi="ar"/>
              </w:rPr>
              <w:t>6、</w:t>
            </w:r>
            <w:r>
              <w:rPr>
                <w:rFonts w:hint="eastAsia" w:cs="仿宋" w:asciiTheme="minorEastAsia" w:hAnsiTheme="minorEastAsia"/>
                <w:color w:val="auto"/>
                <w:szCs w:val="21"/>
                <w:lang w:bidi="ar"/>
              </w:rPr>
              <w:t>服务承诺</w:t>
            </w:r>
          </w:p>
          <w:p w14:paraId="4FFA5CAB">
            <w:pPr>
              <w:spacing w:line="360" w:lineRule="auto"/>
              <w:ind w:firstLine="420" w:firstLineChars="200"/>
              <w:rPr>
                <w:rFonts w:hint="eastAsia" w:cs="仿宋" w:asciiTheme="minorEastAsia" w:hAnsiTheme="minorEastAsia"/>
                <w:color w:val="auto"/>
                <w:szCs w:val="21"/>
                <w:lang w:bidi="ar"/>
              </w:rPr>
            </w:pPr>
            <w:r>
              <w:rPr>
                <w:rFonts w:hint="eastAsia" w:cs="仿宋" w:asciiTheme="minorEastAsia" w:hAnsiTheme="minorEastAsia"/>
                <w:color w:val="auto"/>
                <w:szCs w:val="21"/>
                <w:lang w:val="en-US" w:eastAsia="zh-CN" w:bidi="ar"/>
              </w:rPr>
              <w:t>6</w:t>
            </w:r>
            <w:r>
              <w:rPr>
                <w:rFonts w:hint="eastAsia" w:cs="仿宋" w:asciiTheme="minorEastAsia" w:hAnsiTheme="minorEastAsia"/>
                <w:color w:val="auto"/>
                <w:szCs w:val="21"/>
                <w:lang w:bidi="ar"/>
              </w:rPr>
              <w:t>.1</w:t>
            </w:r>
            <w:r>
              <w:rPr>
                <w:rFonts w:hint="eastAsia" w:cs="仿宋" w:asciiTheme="minorEastAsia" w:hAnsiTheme="minorEastAsia"/>
                <w:color w:val="auto"/>
                <w:szCs w:val="21"/>
                <w:lang w:val="en-US" w:eastAsia="zh-CN" w:bidi="ar"/>
              </w:rPr>
              <w:t>投标人</w:t>
            </w:r>
            <w:r>
              <w:rPr>
                <w:rFonts w:hint="eastAsia" w:cs="仿宋" w:asciiTheme="minorEastAsia" w:hAnsiTheme="minorEastAsia"/>
                <w:color w:val="auto"/>
                <w:szCs w:val="21"/>
                <w:lang w:bidi="ar"/>
              </w:rPr>
              <w:t>承诺设备直接发到用户指定地点，</w:t>
            </w:r>
            <w:r>
              <w:rPr>
                <w:rFonts w:hint="eastAsia" w:cs="仿宋" w:asciiTheme="minorEastAsia" w:hAnsiTheme="minorEastAsia"/>
                <w:color w:val="auto"/>
                <w:szCs w:val="21"/>
                <w:lang w:val="en-US" w:eastAsia="zh-CN" w:bidi="ar"/>
              </w:rPr>
              <w:t>提供</w:t>
            </w:r>
            <w:r>
              <w:rPr>
                <w:rFonts w:hint="eastAsia" w:cs="仿宋" w:asciiTheme="minorEastAsia" w:hAnsiTheme="minorEastAsia"/>
                <w:color w:val="auto"/>
                <w:szCs w:val="21"/>
                <w:lang w:bidi="ar"/>
              </w:rPr>
              <w:t>上门</w:t>
            </w:r>
            <w:r>
              <w:rPr>
                <w:rFonts w:hint="eastAsia" w:cs="仿宋" w:asciiTheme="minorEastAsia" w:hAnsiTheme="minorEastAsia"/>
                <w:color w:val="auto"/>
                <w:szCs w:val="21"/>
                <w:lang w:val="en-US" w:eastAsia="zh-CN" w:bidi="ar"/>
              </w:rPr>
              <w:t>安装等</w:t>
            </w:r>
            <w:r>
              <w:rPr>
                <w:rFonts w:hint="default" w:cs="仿宋" w:asciiTheme="minorEastAsia" w:hAnsiTheme="minorEastAsia"/>
                <w:color w:val="auto"/>
                <w:szCs w:val="21"/>
                <w:lang w:val="en-US" w:bidi="ar"/>
              </w:rPr>
              <w:t>服务</w:t>
            </w:r>
            <w:r>
              <w:rPr>
                <w:rFonts w:hint="eastAsia" w:cs="仿宋" w:asciiTheme="minorEastAsia" w:hAnsiTheme="minorEastAsia"/>
                <w:color w:val="auto"/>
                <w:szCs w:val="21"/>
                <w:lang w:bidi="ar"/>
              </w:rPr>
              <w:t>。</w:t>
            </w:r>
          </w:p>
          <w:p w14:paraId="35C4EFE3">
            <w:pPr>
              <w:spacing w:line="360" w:lineRule="auto"/>
              <w:ind w:firstLine="420" w:firstLineChars="200"/>
              <w:rPr>
                <w:rFonts w:hint="eastAsia" w:cs="仿宋" w:asciiTheme="minorEastAsia" w:hAnsiTheme="minorEastAsia"/>
                <w:color w:val="auto"/>
                <w:szCs w:val="21"/>
                <w:lang w:bidi="ar"/>
              </w:rPr>
            </w:pPr>
            <w:r>
              <w:rPr>
                <w:rFonts w:hint="eastAsia" w:cs="仿宋" w:asciiTheme="minorEastAsia" w:hAnsiTheme="minorEastAsia"/>
                <w:color w:val="auto"/>
                <w:szCs w:val="21"/>
                <w:lang w:val="en-US" w:eastAsia="zh-CN" w:bidi="ar"/>
              </w:rPr>
              <w:t>6</w:t>
            </w:r>
            <w:r>
              <w:rPr>
                <w:rFonts w:hint="eastAsia" w:cs="仿宋" w:asciiTheme="minorEastAsia" w:hAnsiTheme="minorEastAsia"/>
                <w:color w:val="auto"/>
                <w:szCs w:val="21"/>
                <w:lang w:bidi="ar"/>
              </w:rPr>
              <w:t>.</w:t>
            </w:r>
            <w:r>
              <w:rPr>
                <w:rFonts w:hint="eastAsia" w:cs="仿宋" w:asciiTheme="minorEastAsia" w:hAnsiTheme="minorEastAsia"/>
                <w:color w:val="auto"/>
                <w:szCs w:val="21"/>
                <w:lang w:val="en-US" w:eastAsia="zh-CN" w:bidi="ar"/>
              </w:rPr>
              <w:t>2</w:t>
            </w:r>
            <w:r>
              <w:rPr>
                <w:rFonts w:hint="eastAsia" w:cs="仿宋" w:asciiTheme="minorEastAsia" w:hAnsiTheme="minorEastAsia"/>
                <w:color w:val="auto"/>
                <w:szCs w:val="21"/>
                <w:lang w:bidi="ar"/>
              </w:rPr>
              <w:t>保修期后，授权维修站</w:t>
            </w:r>
            <w:r>
              <w:rPr>
                <w:rFonts w:hint="eastAsia" w:cs="仿宋" w:asciiTheme="minorEastAsia" w:hAnsiTheme="minorEastAsia"/>
                <w:color w:val="auto"/>
                <w:szCs w:val="21"/>
                <w:lang w:val="en-US" w:eastAsia="zh-CN" w:bidi="ar"/>
              </w:rPr>
              <w:t>需继续</w:t>
            </w:r>
            <w:r>
              <w:rPr>
                <w:rFonts w:hint="eastAsia" w:cs="仿宋" w:asciiTheme="minorEastAsia" w:hAnsiTheme="minorEastAsia"/>
                <w:color w:val="auto"/>
                <w:szCs w:val="21"/>
                <w:lang w:bidi="ar"/>
              </w:rPr>
              <w:t>负责设备的售后服务工作，7天×8小时工作制，3小时内响应，视频对接处理问题，如需要换件，收取相应材料费用和上门服务费。并且承诺材料费按当时市场实际成本收取。</w:t>
            </w:r>
          </w:p>
          <w:p w14:paraId="3801D3FD">
            <w:pPr>
              <w:pStyle w:val="17"/>
              <w:ind w:firstLine="210" w:firstLineChars="100"/>
              <w:jc w:val="both"/>
              <w:rPr>
                <w:rFonts w:hint="default"/>
                <w:sz w:val="21"/>
                <w:szCs w:val="21"/>
              </w:rPr>
            </w:pPr>
            <w:r>
              <w:rPr>
                <w:rFonts w:hint="eastAsia"/>
                <w:sz w:val="21"/>
                <w:szCs w:val="21"/>
                <w:lang w:val="en-US" w:eastAsia="zh-CN"/>
              </w:rPr>
              <w:t>四</w:t>
            </w:r>
            <w:r>
              <w:rPr>
                <w:sz w:val="21"/>
                <w:szCs w:val="21"/>
              </w:rPr>
              <w:t>、配置清单</w:t>
            </w:r>
          </w:p>
          <w:tbl>
            <w:tblPr>
              <w:tblStyle w:val="11"/>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3867"/>
              <w:gridCol w:w="712"/>
              <w:gridCol w:w="825"/>
            </w:tblGrid>
            <w:tr w14:paraId="3FCB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tcPr>
                <w:p w14:paraId="0DE58607">
                  <w:pPr>
                    <w:pStyle w:val="17"/>
                    <w:jc w:val="center"/>
                    <w:rPr>
                      <w:rFonts w:hint="default" w:ascii="宋体" w:hAnsi="宋体" w:eastAsia="宋体" w:cs="宋体"/>
                      <w:sz w:val="21"/>
                      <w:szCs w:val="21"/>
                    </w:rPr>
                  </w:pPr>
                  <w:r>
                    <w:rPr>
                      <w:rFonts w:ascii="宋体" w:hAnsi="宋体" w:eastAsia="宋体" w:cs="宋体"/>
                      <w:sz w:val="21"/>
                      <w:szCs w:val="21"/>
                    </w:rPr>
                    <w:t>序号</w:t>
                  </w:r>
                </w:p>
              </w:tc>
              <w:tc>
                <w:tcPr>
                  <w:tcW w:w="3867" w:type="dxa"/>
                  <w:tcMar>
                    <w:top w:w="0" w:type="dxa"/>
                    <w:left w:w="105" w:type="dxa"/>
                    <w:bottom w:w="0" w:type="dxa"/>
                    <w:right w:w="105" w:type="dxa"/>
                  </w:tcMar>
                </w:tcPr>
                <w:p w14:paraId="1BCEA339">
                  <w:pPr>
                    <w:pStyle w:val="17"/>
                    <w:jc w:val="center"/>
                    <w:rPr>
                      <w:rFonts w:hint="default" w:ascii="宋体" w:hAnsi="宋体" w:eastAsia="宋体" w:cs="宋体"/>
                      <w:sz w:val="21"/>
                      <w:szCs w:val="21"/>
                    </w:rPr>
                  </w:pPr>
                  <w:r>
                    <w:rPr>
                      <w:rFonts w:ascii="宋体" w:hAnsi="宋体" w:eastAsia="宋体" w:cs="宋体"/>
                      <w:sz w:val="21"/>
                      <w:szCs w:val="21"/>
                    </w:rPr>
                    <w:t>配置名称</w:t>
                  </w:r>
                </w:p>
              </w:tc>
              <w:tc>
                <w:tcPr>
                  <w:tcW w:w="712" w:type="dxa"/>
                  <w:tcMar>
                    <w:top w:w="0" w:type="dxa"/>
                    <w:left w:w="105" w:type="dxa"/>
                    <w:bottom w:w="0" w:type="dxa"/>
                    <w:right w:w="105" w:type="dxa"/>
                  </w:tcMar>
                </w:tcPr>
                <w:p w14:paraId="799675DA">
                  <w:pPr>
                    <w:pStyle w:val="17"/>
                    <w:jc w:val="center"/>
                    <w:rPr>
                      <w:rFonts w:hint="default" w:ascii="宋体" w:hAnsi="宋体" w:eastAsia="宋体" w:cs="宋体"/>
                      <w:sz w:val="21"/>
                      <w:szCs w:val="21"/>
                    </w:rPr>
                  </w:pPr>
                  <w:r>
                    <w:rPr>
                      <w:rFonts w:ascii="宋体" w:hAnsi="宋体" w:eastAsia="宋体" w:cs="宋体"/>
                      <w:sz w:val="21"/>
                      <w:szCs w:val="21"/>
                    </w:rPr>
                    <w:t>单位</w:t>
                  </w:r>
                </w:p>
              </w:tc>
              <w:tc>
                <w:tcPr>
                  <w:tcW w:w="825" w:type="dxa"/>
                  <w:tcMar>
                    <w:top w:w="0" w:type="dxa"/>
                    <w:left w:w="105" w:type="dxa"/>
                    <w:bottom w:w="0" w:type="dxa"/>
                    <w:right w:w="105" w:type="dxa"/>
                  </w:tcMar>
                </w:tcPr>
                <w:p w14:paraId="6B424E86">
                  <w:pPr>
                    <w:pStyle w:val="17"/>
                    <w:jc w:val="center"/>
                    <w:rPr>
                      <w:rFonts w:hint="default" w:ascii="宋体" w:hAnsi="宋体" w:eastAsia="宋体" w:cs="宋体"/>
                      <w:sz w:val="21"/>
                      <w:szCs w:val="21"/>
                    </w:rPr>
                  </w:pPr>
                  <w:r>
                    <w:rPr>
                      <w:rFonts w:ascii="宋体" w:hAnsi="宋体" w:eastAsia="宋体" w:cs="宋体"/>
                      <w:sz w:val="21"/>
                      <w:szCs w:val="21"/>
                    </w:rPr>
                    <w:t>数量</w:t>
                  </w:r>
                </w:p>
              </w:tc>
            </w:tr>
            <w:tr w14:paraId="2AFB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1233C947">
                  <w:pPr>
                    <w:spacing w:line="500" w:lineRule="exact"/>
                    <w:jc w:val="center"/>
                    <w:rPr>
                      <w:rFonts w:ascii="宋体" w:hAnsi="宋体" w:eastAsia="宋体" w:cs="宋体"/>
                      <w:szCs w:val="21"/>
                    </w:rPr>
                  </w:pPr>
                  <w:r>
                    <w:rPr>
                      <w:rFonts w:hint="eastAsia" w:ascii="宋体" w:hAnsi="宋体" w:eastAsia="宋体" w:cs="宋体"/>
                      <w:szCs w:val="21"/>
                    </w:rPr>
                    <w:t>1</w:t>
                  </w:r>
                </w:p>
              </w:tc>
              <w:tc>
                <w:tcPr>
                  <w:tcW w:w="3867" w:type="dxa"/>
                  <w:tcMar>
                    <w:top w:w="0" w:type="dxa"/>
                    <w:left w:w="105" w:type="dxa"/>
                    <w:bottom w:w="0" w:type="dxa"/>
                    <w:right w:w="105" w:type="dxa"/>
                  </w:tcMar>
                  <w:vAlign w:val="center"/>
                </w:tcPr>
                <w:p w14:paraId="5D137678">
                  <w:pPr>
                    <w:spacing w:line="500" w:lineRule="exact"/>
                    <w:jc w:val="center"/>
                    <w:rPr>
                      <w:rFonts w:ascii="宋体" w:hAnsi="宋体" w:eastAsia="宋体" w:cs="宋体"/>
                      <w:szCs w:val="21"/>
                    </w:rPr>
                  </w:pPr>
                  <w:r>
                    <w:rPr>
                      <w:rFonts w:hint="eastAsia" w:ascii="宋体" w:hAnsi="宋体" w:eastAsia="宋体" w:cs="宋体"/>
                      <w:szCs w:val="21"/>
                    </w:rPr>
                    <w:t>微型水质监测站（内置：CODmn、总磷、总氮、pH、悬浮物）</w:t>
                  </w:r>
                </w:p>
              </w:tc>
              <w:tc>
                <w:tcPr>
                  <w:tcW w:w="712" w:type="dxa"/>
                  <w:tcMar>
                    <w:top w:w="0" w:type="dxa"/>
                    <w:left w:w="105" w:type="dxa"/>
                    <w:bottom w:w="0" w:type="dxa"/>
                    <w:right w:w="105" w:type="dxa"/>
                  </w:tcMar>
                  <w:vAlign w:val="center"/>
                </w:tcPr>
                <w:p w14:paraId="6A6D4EE3">
                  <w:pPr>
                    <w:spacing w:line="500" w:lineRule="exact"/>
                    <w:jc w:val="center"/>
                    <w:rPr>
                      <w:rFonts w:ascii="宋体" w:hAnsi="宋体" w:eastAsia="宋体" w:cs="宋体"/>
                      <w:szCs w:val="21"/>
                    </w:rPr>
                  </w:pPr>
                  <w:r>
                    <w:rPr>
                      <w:rFonts w:hint="eastAsia" w:ascii="宋体" w:hAnsi="宋体" w:eastAsia="宋体" w:cs="宋体"/>
                      <w:szCs w:val="21"/>
                    </w:rPr>
                    <w:t>台</w:t>
                  </w:r>
                </w:p>
              </w:tc>
              <w:tc>
                <w:tcPr>
                  <w:tcW w:w="825" w:type="dxa"/>
                  <w:tcMar>
                    <w:top w:w="0" w:type="dxa"/>
                    <w:left w:w="105" w:type="dxa"/>
                    <w:bottom w:w="0" w:type="dxa"/>
                    <w:right w:w="105" w:type="dxa"/>
                  </w:tcMar>
                  <w:vAlign w:val="center"/>
                </w:tcPr>
                <w:p w14:paraId="6C3E3379">
                  <w:pPr>
                    <w:spacing w:line="500" w:lineRule="exact"/>
                    <w:jc w:val="center"/>
                    <w:rPr>
                      <w:rFonts w:ascii="宋体" w:hAnsi="宋体" w:eastAsia="宋体" w:cs="宋体"/>
                      <w:szCs w:val="21"/>
                    </w:rPr>
                  </w:pPr>
                  <w:r>
                    <w:rPr>
                      <w:rFonts w:hint="eastAsia" w:ascii="宋体" w:hAnsi="宋体" w:eastAsia="宋体" w:cs="宋体"/>
                      <w:szCs w:val="21"/>
                    </w:rPr>
                    <w:t>1</w:t>
                  </w:r>
                </w:p>
              </w:tc>
            </w:tr>
            <w:tr w14:paraId="2F05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61CE0625">
                  <w:pPr>
                    <w:spacing w:line="500" w:lineRule="exact"/>
                    <w:jc w:val="center"/>
                    <w:rPr>
                      <w:rFonts w:ascii="宋体" w:hAnsi="宋体" w:eastAsia="宋体" w:cs="宋体"/>
                      <w:szCs w:val="21"/>
                    </w:rPr>
                  </w:pPr>
                  <w:r>
                    <w:rPr>
                      <w:rFonts w:hint="eastAsia" w:ascii="宋体" w:hAnsi="宋体" w:eastAsia="宋体" w:cs="宋体"/>
                      <w:szCs w:val="21"/>
                    </w:rPr>
                    <w:t>2</w:t>
                  </w:r>
                </w:p>
              </w:tc>
              <w:tc>
                <w:tcPr>
                  <w:tcW w:w="3867" w:type="dxa"/>
                  <w:tcMar>
                    <w:top w:w="0" w:type="dxa"/>
                    <w:left w:w="105" w:type="dxa"/>
                    <w:bottom w:w="0" w:type="dxa"/>
                    <w:right w:w="105" w:type="dxa"/>
                  </w:tcMar>
                  <w:vAlign w:val="center"/>
                </w:tcPr>
                <w:p w14:paraId="4E4EBB91">
                  <w:pPr>
                    <w:spacing w:line="500" w:lineRule="exact"/>
                    <w:jc w:val="center"/>
                    <w:rPr>
                      <w:rFonts w:ascii="宋体" w:hAnsi="宋体" w:eastAsia="宋体" w:cs="宋体"/>
                      <w:kern w:val="0"/>
                      <w:szCs w:val="21"/>
                      <w:lang w:bidi="ar"/>
                    </w:rPr>
                  </w:pPr>
                  <w:r>
                    <w:rPr>
                      <w:rFonts w:hint="eastAsia" w:ascii="宋体" w:hAnsi="宋体" w:eastAsia="宋体" w:cs="宋体"/>
                      <w:szCs w:val="21"/>
                    </w:rPr>
                    <w:t>空调一台（镶嵌于仪器内部）</w:t>
                  </w:r>
                </w:p>
              </w:tc>
              <w:tc>
                <w:tcPr>
                  <w:tcW w:w="712" w:type="dxa"/>
                  <w:tcMar>
                    <w:top w:w="0" w:type="dxa"/>
                    <w:left w:w="105" w:type="dxa"/>
                    <w:bottom w:w="0" w:type="dxa"/>
                    <w:right w:w="105" w:type="dxa"/>
                  </w:tcMar>
                  <w:vAlign w:val="center"/>
                </w:tcPr>
                <w:p w14:paraId="3469F1C9">
                  <w:pPr>
                    <w:spacing w:line="500" w:lineRule="exact"/>
                    <w:jc w:val="center"/>
                    <w:rPr>
                      <w:rFonts w:ascii="宋体" w:hAnsi="宋体" w:eastAsia="宋体" w:cs="宋体"/>
                      <w:szCs w:val="21"/>
                    </w:rPr>
                  </w:pPr>
                  <w:r>
                    <w:rPr>
                      <w:rFonts w:hint="eastAsia" w:ascii="宋体" w:hAnsi="宋体" w:eastAsia="宋体" w:cs="宋体"/>
                      <w:szCs w:val="21"/>
                    </w:rPr>
                    <w:t>台</w:t>
                  </w:r>
                </w:p>
              </w:tc>
              <w:tc>
                <w:tcPr>
                  <w:tcW w:w="825" w:type="dxa"/>
                  <w:tcMar>
                    <w:top w:w="0" w:type="dxa"/>
                    <w:left w:w="105" w:type="dxa"/>
                    <w:bottom w:w="0" w:type="dxa"/>
                    <w:right w:w="105" w:type="dxa"/>
                  </w:tcMar>
                  <w:vAlign w:val="center"/>
                </w:tcPr>
                <w:p w14:paraId="0C9A5719">
                  <w:pPr>
                    <w:spacing w:line="500" w:lineRule="exact"/>
                    <w:jc w:val="center"/>
                    <w:rPr>
                      <w:rFonts w:ascii="宋体" w:hAnsi="宋体" w:eastAsia="宋体" w:cs="宋体"/>
                      <w:szCs w:val="21"/>
                    </w:rPr>
                  </w:pPr>
                  <w:r>
                    <w:rPr>
                      <w:rFonts w:hint="eastAsia" w:ascii="宋体" w:hAnsi="宋体" w:eastAsia="宋体" w:cs="宋体"/>
                      <w:szCs w:val="21"/>
                    </w:rPr>
                    <w:t>1</w:t>
                  </w:r>
                </w:p>
              </w:tc>
            </w:tr>
            <w:tr w14:paraId="7C88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66CF08BD">
                  <w:pPr>
                    <w:spacing w:line="500" w:lineRule="exact"/>
                    <w:jc w:val="center"/>
                    <w:rPr>
                      <w:rFonts w:ascii="宋体" w:hAnsi="宋体" w:eastAsia="宋体" w:cs="宋体"/>
                      <w:szCs w:val="21"/>
                    </w:rPr>
                  </w:pPr>
                  <w:r>
                    <w:rPr>
                      <w:rFonts w:hint="eastAsia" w:ascii="宋体" w:hAnsi="宋体" w:eastAsia="宋体" w:cs="宋体"/>
                      <w:szCs w:val="21"/>
                    </w:rPr>
                    <w:t>3</w:t>
                  </w:r>
                </w:p>
              </w:tc>
              <w:tc>
                <w:tcPr>
                  <w:tcW w:w="3867" w:type="dxa"/>
                  <w:tcMar>
                    <w:top w:w="0" w:type="dxa"/>
                    <w:left w:w="105" w:type="dxa"/>
                    <w:bottom w:w="0" w:type="dxa"/>
                    <w:right w:w="105" w:type="dxa"/>
                  </w:tcMar>
                  <w:vAlign w:val="center"/>
                </w:tcPr>
                <w:p w14:paraId="71ED6A17">
                  <w:pPr>
                    <w:spacing w:line="500" w:lineRule="exact"/>
                    <w:jc w:val="center"/>
                    <w:rPr>
                      <w:rFonts w:ascii="宋体" w:hAnsi="宋体" w:eastAsia="宋体" w:cs="宋体"/>
                      <w:kern w:val="0"/>
                      <w:szCs w:val="21"/>
                      <w:lang w:bidi="ar"/>
                    </w:rPr>
                  </w:pPr>
                  <w:r>
                    <w:rPr>
                      <w:rFonts w:hint="eastAsia" w:ascii="宋体" w:hAnsi="宋体" w:eastAsia="宋体" w:cs="宋体"/>
                      <w:szCs w:val="21"/>
                    </w:rPr>
                    <w:t>电器集成（镶嵌于仪器内部）</w:t>
                  </w:r>
                </w:p>
              </w:tc>
              <w:tc>
                <w:tcPr>
                  <w:tcW w:w="712" w:type="dxa"/>
                  <w:tcMar>
                    <w:top w:w="0" w:type="dxa"/>
                    <w:left w:w="105" w:type="dxa"/>
                    <w:bottom w:w="0" w:type="dxa"/>
                    <w:right w:w="105" w:type="dxa"/>
                  </w:tcMar>
                  <w:vAlign w:val="center"/>
                </w:tcPr>
                <w:p w14:paraId="27480681">
                  <w:pPr>
                    <w:spacing w:line="500" w:lineRule="exact"/>
                    <w:jc w:val="center"/>
                    <w:rPr>
                      <w:rFonts w:ascii="宋体" w:hAnsi="宋体" w:eastAsia="宋体" w:cs="宋体"/>
                      <w:szCs w:val="21"/>
                    </w:rPr>
                  </w:pPr>
                  <w:r>
                    <w:rPr>
                      <w:rFonts w:hint="eastAsia" w:ascii="宋体" w:hAnsi="宋体" w:eastAsia="宋体" w:cs="宋体"/>
                      <w:szCs w:val="21"/>
                    </w:rPr>
                    <w:t>套</w:t>
                  </w:r>
                </w:p>
              </w:tc>
              <w:tc>
                <w:tcPr>
                  <w:tcW w:w="825" w:type="dxa"/>
                  <w:tcMar>
                    <w:top w:w="0" w:type="dxa"/>
                    <w:left w:w="105" w:type="dxa"/>
                    <w:bottom w:w="0" w:type="dxa"/>
                    <w:right w:w="105" w:type="dxa"/>
                  </w:tcMar>
                  <w:vAlign w:val="center"/>
                </w:tcPr>
                <w:p w14:paraId="49A864F9">
                  <w:pPr>
                    <w:spacing w:line="500" w:lineRule="exact"/>
                    <w:jc w:val="center"/>
                    <w:rPr>
                      <w:rFonts w:ascii="宋体" w:hAnsi="宋体" w:eastAsia="宋体" w:cs="宋体"/>
                      <w:szCs w:val="21"/>
                    </w:rPr>
                  </w:pPr>
                  <w:r>
                    <w:rPr>
                      <w:rFonts w:hint="eastAsia" w:ascii="宋体" w:hAnsi="宋体" w:eastAsia="宋体" w:cs="宋体"/>
                      <w:szCs w:val="21"/>
                    </w:rPr>
                    <w:t>1</w:t>
                  </w:r>
                </w:p>
              </w:tc>
            </w:tr>
            <w:tr w14:paraId="1098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092F0893">
                  <w:pPr>
                    <w:spacing w:line="500" w:lineRule="exact"/>
                    <w:jc w:val="center"/>
                    <w:rPr>
                      <w:rFonts w:ascii="宋体" w:hAnsi="宋体" w:eastAsia="宋体" w:cs="宋体"/>
                      <w:szCs w:val="21"/>
                    </w:rPr>
                  </w:pPr>
                  <w:r>
                    <w:rPr>
                      <w:rFonts w:hint="eastAsia" w:ascii="宋体" w:hAnsi="宋体" w:eastAsia="宋体" w:cs="宋体"/>
                      <w:szCs w:val="21"/>
                    </w:rPr>
                    <w:t>4</w:t>
                  </w:r>
                </w:p>
              </w:tc>
              <w:tc>
                <w:tcPr>
                  <w:tcW w:w="3867" w:type="dxa"/>
                  <w:tcMar>
                    <w:top w:w="0" w:type="dxa"/>
                    <w:left w:w="105" w:type="dxa"/>
                    <w:bottom w:w="0" w:type="dxa"/>
                    <w:right w:w="105" w:type="dxa"/>
                  </w:tcMar>
                  <w:vAlign w:val="center"/>
                </w:tcPr>
                <w:p w14:paraId="556E8641">
                  <w:pPr>
                    <w:spacing w:line="500" w:lineRule="exact"/>
                    <w:jc w:val="center"/>
                    <w:rPr>
                      <w:rFonts w:ascii="宋体" w:hAnsi="宋体" w:eastAsia="宋体" w:cs="宋体"/>
                      <w:kern w:val="0"/>
                      <w:szCs w:val="21"/>
                      <w:lang w:bidi="ar"/>
                    </w:rPr>
                  </w:pPr>
                  <w:r>
                    <w:rPr>
                      <w:rFonts w:hint="eastAsia" w:ascii="宋体" w:hAnsi="宋体" w:eastAsia="宋体" w:cs="宋体"/>
                      <w:szCs w:val="21"/>
                    </w:rPr>
                    <w:t>预处理系统（镶嵌于仪器内部）</w:t>
                  </w:r>
                </w:p>
              </w:tc>
              <w:tc>
                <w:tcPr>
                  <w:tcW w:w="712" w:type="dxa"/>
                  <w:tcMar>
                    <w:top w:w="0" w:type="dxa"/>
                    <w:left w:w="105" w:type="dxa"/>
                    <w:bottom w:w="0" w:type="dxa"/>
                    <w:right w:w="105" w:type="dxa"/>
                  </w:tcMar>
                  <w:vAlign w:val="center"/>
                </w:tcPr>
                <w:p w14:paraId="7CADF795">
                  <w:pPr>
                    <w:spacing w:line="500" w:lineRule="exact"/>
                    <w:jc w:val="center"/>
                    <w:rPr>
                      <w:rFonts w:ascii="宋体" w:hAnsi="宋体" w:eastAsia="宋体" w:cs="宋体"/>
                      <w:szCs w:val="21"/>
                    </w:rPr>
                  </w:pPr>
                  <w:r>
                    <w:rPr>
                      <w:rFonts w:hint="eastAsia" w:ascii="宋体" w:hAnsi="宋体" w:eastAsia="宋体" w:cs="宋体"/>
                      <w:szCs w:val="21"/>
                    </w:rPr>
                    <w:t>套</w:t>
                  </w:r>
                </w:p>
              </w:tc>
              <w:tc>
                <w:tcPr>
                  <w:tcW w:w="825" w:type="dxa"/>
                  <w:tcMar>
                    <w:top w:w="0" w:type="dxa"/>
                    <w:left w:w="105" w:type="dxa"/>
                    <w:bottom w:w="0" w:type="dxa"/>
                    <w:right w:w="105" w:type="dxa"/>
                  </w:tcMar>
                  <w:vAlign w:val="center"/>
                </w:tcPr>
                <w:p w14:paraId="2145D0D9">
                  <w:pPr>
                    <w:spacing w:line="500" w:lineRule="exact"/>
                    <w:jc w:val="center"/>
                    <w:rPr>
                      <w:rFonts w:ascii="宋体" w:hAnsi="宋体" w:eastAsia="宋体" w:cs="宋体"/>
                      <w:szCs w:val="21"/>
                    </w:rPr>
                  </w:pPr>
                  <w:r>
                    <w:rPr>
                      <w:rFonts w:hint="eastAsia" w:ascii="宋体" w:hAnsi="宋体" w:eastAsia="宋体" w:cs="宋体"/>
                      <w:szCs w:val="21"/>
                    </w:rPr>
                    <w:t>1</w:t>
                  </w:r>
                </w:p>
              </w:tc>
            </w:tr>
            <w:tr w14:paraId="3615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206A8088">
                  <w:pPr>
                    <w:spacing w:line="500" w:lineRule="exact"/>
                    <w:jc w:val="center"/>
                    <w:rPr>
                      <w:rFonts w:ascii="宋体" w:hAnsi="宋体" w:eastAsia="宋体" w:cs="宋体"/>
                      <w:szCs w:val="21"/>
                    </w:rPr>
                  </w:pPr>
                  <w:r>
                    <w:rPr>
                      <w:rFonts w:hint="eastAsia" w:ascii="宋体" w:hAnsi="宋体" w:eastAsia="宋体" w:cs="宋体"/>
                      <w:szCs w:val="21"/>
                    </w:rPr>
                    <w:t>5</w:t>
                  </w:r>
                </w:p>
              </w:tc>
              <w:tc>
                <w:tcPr>
                  <w:tcW w:w="3867" w:type="dxa"/>
                  <w:tcMar>
                    <w:top w:w="0" w:type="dxa"/>
                    <w:left w:w="105" w:type="dxa"/>
                    <w:bottom w:w="0" w:type="dxa"/>
                    <w:right w:w="105" w:type="dxa"/>
                  </w:tcMar>
                  <w:vAlign w:val="center"/>
                </w:tcPr>
                <w:p w14:paraId="07831E89">
                  <w:pPr>
                    <w:spacing w:line="500" w:lineRule="exact"/>
                    <w:jc w:val="center"/>
                    <w:rPr>
                      <w:rFonts w:ascii="宋体" w:hAnsi="宋体" w:eastAsia="宋体" w:cs="宋体"/>
                      <w:szCs w:val="21"/>
                    </w:rPr>
                  </w:pPr>
                  <w:r>
                    <w:rPr>
                      <w:rFonts w:hint="eastAsia" w:ascii="宋体" w:hAnsi="宋体" w:eastAsia="宋体" w:cs="宋体"/>
                      <w:szCs w:val="21"/>
                    </w:rPr>
                    <w:t>水泵、浮漂</w:t>
                  </w:r>
                </w:p>
              </w:tc>
              <w:tc>
                <w:tcPr>
                  <w:tcW w:w="712" w:type="dxa"/>
                  <w:tcMar>
                    <w:top w:w="0" w:type="dxa"/>
                    <w:left w:w="105" w:type="dxa"/>
                    <w:bottom w:w="0" w:type="dxa"/>
                    <w:right w:w="105" w:type="dxa"/>
                  </w:tcMar>
                  <w:vAlign w:val="center"/>
                </w:tcPr>
                <w:p w14:paraId="58D9D52C">
                  <w:pPr>
                    <w:spacing w:line="500" w:lineRule="exact"/>
                    <w:jc w:val="center"/>
                    <w:rPr>
                      <w:rFonts w:ascii="宋体" w:hAnsi="宋体" w:eastAsia="宋体" w:cs="宋体"/>
                      <w:szCs w:val="21"/>
                    </w:rPr>
                  </w:pPr>
                  <w:r>
                    <w:rPr>
                      <w:rFonts w:hint="eastAsia" w:ascii="宋体" w:hAnsi="宋体" w:eastAsia="宋体" w:cs="宋体"/>
                      <w:szCs w:val="21"/>
                    </w:rPr>
                    <w:t>套</w:t>
                  </w:r>
                </w:p>
              </w:tc>
              <w:tc>
                <w:tcPr>
                  <w:tcW w:w="825" w:type="dxa"/>
                  <w:tcMar>
                    <w:top w:w="0" w:type="dxa"/>
                    <w:left w:w="105" w:type="dxa"/>
                    <w:bottom w:w="0" w:type="dxa"/>
                    <w:right w:w="105" w:type="dxa"/>
                  </w:tcMar>
                  <w:vAlign w:val="center"/>
                </w:tcPr>
                <w:p w14:paraId="7B3312E5">
                  <w:pPr>
                    <w:spacing w:line="500" w:lineRule="exact"/>
                    <w:jc w:val="center"/>
                    <w:rPr>
                      <w:rFonts w:ascii="宋体" w:hAnsi="宋体" w:eastAsia="宋体" w:cs="宋体"/>
                      <w:szCs w:val="21"/>
                    </w:rPr>
                  </w:pPr>
                  <w:r>
                    <w:rPr>
                      <w:rFonts w:hint="eastAsia" w:ascii="宋体" w:hAnsi="宋体" w:eastAsia="宋体" w:cs="宋体"/>
                      <w:szCs w:val="21"/>
                    </w:rPr>
                    <w:t>1</w:t>
                  </w:r>
                </w:p>
              </w:tc>
            </w:tr>
          </w:tbl>
          <w:p w14:paraId="12772F0C">
            <w:pPr>
              <w:jc w:val="left"/>
              <w:rPr>
                <w:rFonts w:asciiTheme="minorEastAsia" w:hAnsiTheme="minorEastAsia"/>
                <w:szCs w:val="21"/>
              </w:rPr>
            </w:pPr>
          </w:p>
        </w:tc>
      </w:tr>
    </w:tbl>
    <w:p w14:paraId="08EFA657"/>
    <w:p w14:paraId="0951DFC5">
      <w:pPr>
        <w:bidi w:val="0"/>
        <w:ind w:firstLine="309" w:firstLineChars="0"/>
        <w:jc w:val="left"/>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0400C0"/>
    <w:multiLevelType w:val="singleLevel"/>
    <w:tmpl w:val="A90400C0"/>
    <w:lvl w:ilvl="0" w:tentative="0">
      <w:start w:val="1"/>
      <w:numFmt w:val="decimal"/>
      <w:suff w:val="nothing"/>
      <w:lvlText w:val="%1、"/>
      <w:lvlJc w:val="left"/>
      <w:pPr>
        <w:ind w:left="0" w:firstLine="420"/>
      </w:pPr>
    </w:lvl>
  </w:abstractNum>
  <w:abstractNum w:abstractNumId="1">
    <w:nsid w:val="356C81AC"/>
    <w:multiLevelType w:val="singleLevel"/>
    <w:tmpl w:val="356C81AC"/>
    <w:lvl w:ilvl="0" w:tentative="0">
      <w:start w:val="1"/>
      <w:numFmt w:val="decimal"/>
      <w:suff w:val="nothing"/>
      <w:lvlText w:val="（%1）"/>
      <w:lvlJc w:val="left"/>
      <w:pPr>
        <w:ind w:left="105" w:firstLine="0"/>
      </w:pPr>
    </w:lvl>
  </w:abstractNum>
  <w:abstractNum w:abstractNumId="2">
    <w:nsid w:val="45994EF5"/>
    <w:multiLevelType w:val="multilevel"/>
    <w:tmpl w:val="45994EF5"/>
    <w:lvl w:ilvl="0" w:tentative="0">
      <w:start w:val="1"/>
      <w:numFmt w:val="japaneseCounting"/>
      <w:lvlText w:val="%1、"/>
      <w:lvlJc w:val="left"/>
      <w:pPr>
        <w:tabs>
          <w:tab w:val="left" w:pos="3398"/>
        </w:tabs>
        <w:ind w:left="3398"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color w:val="auto"/>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3">
    <w:nsid w:val="460327A1"/>
    <w:multiLevelType w:val="multilevel"/>
    <w:tmpl w:val="460327A1"/>
    <w:lvl w:ilvl="0" w:tentative="0">
      <w:start w:val="1"/>
      <w:numFmt w:val="decimal"/>
      <w:suff w:val="noth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87E4AB1"/>
    <w:multiLevelType w:val="multilevel"/>
    <w:tmpl w:val="487E4AB1"/>
    <w:lvl w:ilvl="0" w:tentative="0">
      <w:start w:val="1"/>
      <w:numFmt w:val="japaneseCounting"/>
      <w:lvlText w:val="%1、"/>
      <w:lvlJc w:val="left"/>
      <w:pPr>
        <w:tabs>
          <w:tab w:val="left" w:pos="3398"/>
        </w:tabs>
        <w:ind w:left="3398"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5">
    <w:nsid w:val="4F07051E"/>
    <w:multiLevelType w:val="multilevel"/>
    <w:tmpl w:val="4F07051E"/>
    <w:lvl w:ilvl="0" w:tentative="0">
      <w:start w:val="1"/>
      <w:numFmt w:val="decimal"/>
      <w:suff w:val="nothing"/>
      <w:lvlText w:val="（%1）"/>
      <w:lvlJc w:val="left"/>
      <w:pPr>
        <w:ind w:left="420" w:hanging="420"/>
      </w:pPr>
      <w:rPr>
        <w:rFonts w:hint="eastAsia" w:ascii="宋体" w:hAnsi="宋体" w:eastAsia="宋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16003D4"/>
    <w:multiLevelType w:val="multilevel"/>
    <w:tmpl w:val="516003D4"/>
    <w:lvl w:ilvl="0" w:tentative="0">
      <w:start w:val="1"/>
      <w:numFmt w:val="japaneseCounting"/>
      <w:lvlText w:val="%1、"/>
      <w:lvlJc w:val="left"/>
      <w:pPr>
        <w:tabs>
          <w:tab w:val="left" w:pos="704"/>
        </w:tabs>
        <w:ind w:left="704" w:hanging="420"/>
      </w:pPr>
      <w:rPr>
        <w:rFonts w:hint="default"/>
        <w:b/>
      </w:rPr>
    </w:lvl>
    <w:lvl w:ilvl="1" w:tentative="0">
      <w:start w:val="1"/>
      <w:numFmt w:val="decimal"/>
      <w:lvlText w:val="%2、"/>
      <w:lvlJc w:val="left"/>
      <w:pPr>
        <w:tabs>
          <w:tab w:val="left" w:pos="0"/>
        </w:tabs>
        <w:ind w:left="0"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num w:numId="1">
    <w:abstractNumId w:val="5"/>
  </w:num>
  <w:num w:numId="2">
    <w:abstractNumId w:val="3"/>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D111D0"/>
    <w:rsid w:val="29DF7CB3"/>
    <w:rsid w:val="29FB6427"/>
    <w:rsid w:val="2D8F19F0"/>
    <w:rsid w:val="396F2E47"/>
    <w:rsid w:val="3C7E335B"/>
    <w:rsid w:val="3CFC0724"/>
    <w:rsid w:val="462E441D"/>
    <w:rsid w:val="4D6D5452"/>
    <w:rsid w:val="517B1860"/>
    <w:rsid w:val="51AC22C1"/>
    <w:rsid w:val="571406EC"/>
    <w:rsid w:val="59A0270B"/>
    <w:rsid w:val="5C934F58"/>
    <w:rsid w:val="615E09E1"/>
    <w:rsid w:val="64287437"/>
    <w:rsid w:val="6CD45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wordWrap w:val="0"/>
      <w:spacing w:after="160"/>
      <w:outlineLvl w:val="1"/>
    </w:p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Message Header"/>
    <w:basedOn w:val="1"/>
    <w:next w:val="3"/>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spacing w:line="360" w:lineRule="auto"/>
    </w:pPr>
    <w:rPr>
      <w:rFonts w:ascii="Arial" w:hAnsi="Arial"/>
      <w:color w:val="000000"/>
      <w:sz w:val="28"/>
    </w:rPr>
  </w:style>
  <w:style w:type="paragraph" w:styleId="3">
    <w:name w:val="Body Text"/>
    <w:basedOn w:val="1"/>
    <w:next w:val="1"/>
    <w:unhideWhenUsed/>
    <w:qFormat/>
    <w:uiPriority w:val="99"/>
    <w:pPr>
      <w:spacing w:after="120"/>
    </w:pPr>
  </w:style>
  <w:style w:type="paragraph" w:styleId="6">
    <w:name w:val="Normal Indent"/>
    <w:basedOn w:val="1"/>
    <w:next w:val="1"/>
    <w:qFormat/>
    <w:uiPriority w:val="0"/>
    <w:pPr>
      <w:ind w:firstLine="420" w:firstLineChars="200"/>
    </w:pPr>
    <w:rPr>
      <w:szCs w:val="21"/>
    </w:rPr>
  </w:style>
  <w:style w:type="paragraph" w:styleId="7">
    <w:name w:val="annotation text"/>
    <w:basedOn w:val="1"/>
    <w:unhideWhenUsed/>
    <w:qFormat/>
    <w:uiPriority w:val="99"/>
    <w:pPr>
      <w:jc w:val="left"/>
    </w:pPr>
  </w:style>
  <w:style w:type="paragraph" w:styleId="8">
    <w:name w:val="Body Text Indent"/>
    <w:basedOn w:val="1"/>
    <w:qFormat/>
    <w:uiPriority w:val="99"/>
    <w:pPr>
      <w:spacing w:after="120"/>
      <w:ind w:left="420" w:leftChars="200"/>
    </w:pPr>
    <w:rPr>
      <w:rFonts w:ascii="Times New Roman" w:hAnsi="Times New Roman" w:eastAsia="宋体" w:cs="Times New Roman"/>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2"/>
    <w:basedOn w:val="8"/>
    <w:qFormat/>
    <w:uiPriority w:val="99"/>
    <w:pPr>
      <w:ind w:firstLine="420" w:firstLine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Hyperlink"/>
    <w:basedOn w:val="13"/>
    <w:unhideWhenUsed/>
    <w:qFormat/>
    <w:uiPriority w:val="99"/>
    <w:rPr>
      <w:color w:val="0026E5"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 w:type="paragraph" w:styleId="18">
    <w:name w:val="List Paragraph"/>
    <w:basedOn w:val="1"/>
    <w:qFormat/>
    <w:uiPriority w:val="99"/>
    <w:pPr>
      <w:ind w:firstLine="420" w:firstLineChars="200"/>
    </w:pPr>
  </w:style>
  <w:style w:type="paragraph" w:customStyle="1" w:styleId="19">
    <w:name w:val="BodyText"/>
    <w:basedOn w:val="1"/>
    <w:qFormat/>
    <w:uiPriority w:val="0"/>
    <w:pPr>
      <w:spacing w:after="1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13571</Words>
  <Characters>14687</Characters>
  <Lines>0</Lines>
  <Paragraphs>0</Paragraphs>
  <TotalTime>1</TotalTime>
  <ScaleCrop>false</ScaleCrop>
  <LinksUpToDate>false</LinksUpToDate>
  <CharactersWithSpaces>14816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2026-07-22T01:05:00Z</dcterms:created>
  <dc:creator>Administrator.DESKTOP-O4GNI5S</dc:creator>
  <cp:lastModifiedBy>XY</cp:lastModifiedBy>
  <dcterms:modified xsi:type="dcterms:W3CDTF">2026-09-24T07:31:24Z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eyJoZGlkIjoiNzI0YTRhMzM4YzZhMzMwYTFjNDIxNzI4Njc1NjY5M2MiLCJ1c2VySWQiOiI0NDg5MDU5NjIifQ==</vt:lpwstr>
  </property>
  <property fmtid="{D5CDD505-2E9C-101B-9397-08002B2CF9AE}" pid="4" name="ICV">
    <vt:lpwstr>AAB3F935F585468095CD206F4D4E36A3_12</vt:lpwstr>
  </property>
</Properties>
</file>