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attachedToolbars.bin" ContentType="application/vnd.ms-word.attachedToolbars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9"/>
        <w:framePr w:wrap="around"/>
        <w:rPr>
          <w:rFonts w:ascii="Times New Roman"/>
        </w:rPr>
      </w:pPr>
      <w:r>
        <w:rPr>
          <w:rFonts w:ascii="Times New Roman"/>
        </w:rPr>
        <w:t>ICS 67.080.10</w:t>
      </w:r>
    </w:p>
    <w:p>
      <w:pPr>
        <w:pStyle w:val="129"/>
        <w:framePr w:wrap="around"/>
        <w:rPr>
          <w:rFonts w:ascii="Times New Roman"/>
        </w:rPr>
      </w:pPr>
      <w:r>
        <w:rPr>
          <w:rFonts w:ascii="Times New Roman"/>
        </w:rPr>
        <w:t>CCS B 31</w:t>
      </w:r>
    </w:p>
    <w:tbl>
      <w:tblPr>
        <w:tblStyle w:val="32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129"/>
              <w:framePr w:wrap="around"/>
              <w:rPr>
                <w:rFonts w:ascii="Times New Roman"/>
              </w:rPr>
            </w:pPr>
          </w:p>
        </w:tc>
      </w:tr>
    </w:tbl>
    <w:p>
      <w:pPr>
        <w:pStyle w:val="73"/>
        <w:framePr w:wrap="around"/>
      </w:pPr>
      <w:r>
        <w:rPr>
          <w:b w:val="0"/>
          <w:bCs/>
        </w:rPr>
        <w:t>DB</w:t>
      </w:r>
      <w:r>
        <w:t>44</w:t>
      </w:r>
    </w:p>
    <w:p>
      <w:pPr>
        <w:pStyle w:val="91"/>
        <w:framePr w:wrap="around"/>
        <w:rPr>
          <w:rFonts w:ascii="Times New Roman" w:hAnsi="Times New Roman"/>
        </w:rPr>
      </w:pPr>
      <w:r>
        <w:rPr>
          <w:rFonts w:hint="eastAsia" w:ascii="Times New Roman" w:hAnsi="Times New Roman"/>
        </w:rPr>
        <w:t>广东省</w:t>
      </w:r>
      <w:r>
        <w:rPr>
          <w:rFonts w:ascii="Times New Roman" w:hAnsi="Times New Roman"/>
        </w:rPr>
        <w:t>地方标准</w:t>
      </w:r>
    </w:p>
    <w:p>
      <w:pPr>
        <w:pStyle w:val="131"/>
        <w:framePr w:wrap="around"/>
        <w:rPr>
          <w:rFonts w:ascii="Times New Roman"/>
        </w:rPr>
      </w:pPr>
      <w:r>
        <w:rPr>
          <w:rFonts w:ascii="Times New Roman"/>
        </w:rPr>
        <w:t>DB 44/T 0000—0000</w:t>
      </w:r>
    </w:p>
    <w:tbl>
      <w:tblPr>
        <w:tblStyle w:val="32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112"/>
              <w:framePr w:wrap="around"/>
              <w:rPr>
                <w:rFonts w:ascii="Times New Roman"/>
              </w:rPr>
            </w:pPr>
            <w:r>
              <w:rPr>
                <w:rFonts w:ascii="Times New Roman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>
                      <wp:simplePos x="0" y="0"/>
                      <wp:positionH relativeFrom="column">
                        <wp:posOffset>4734560</wp:posOffset>
                      </wp:positionH>
                      <wp:positionV relativeFrom="paragraph">
                        <wp:posOffset>34290</wp:posOffset>
                      </wp:positionV>
                      <wp:extent cx="1143000" cy="228600"/>
                      <wp:effectExtent l="0" t="0" r="0" b="0"/>
                      <wp:wrapNone/>
                      <wp:docPr id="1" name="DT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bodyPr wrap="square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DT" o:spid="_x0000_s1026" o:spt="1" style="position:absolute;left:0pt;margin-left:372.8pt;margin-top:2.7pt;height:18pt;width:90pt;z-index:-251657216;mso-width-relative:page;mso-height-relative:page;" fillcolor="#FFFFFF" filled="t" stroked="f" coordsize="21600,21600" o:gfxdata="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B5g8svWAAAACAEA&#10;AA8AAAAAAAAAAQAgAAAAIgAAAGRycy9kb3ducmV2LnhtbFBLAQIUABQAAAAIAIdO4kD2n1EKqgEA&#10;AGcDAAAOAAAAAAAAAAEAIAAAACUBAABkcnMvZTJvRG9jLnhtbFBLBQYAAAAABgAGAFkBAABBBQAA&#10;AAA=&#10;">
                      <v:fill on="t" focussize="0,0"/>
                      <v:stroke on="f"/>
                      <v:imagedata o:title=""/>
                      <o:lock v:ext="edit" aspectratio="f"/>
                    </v:rect>
                  </w:pict>
                </mc:Fallback>
              </mc:AlternateContent>
            </w:r>
          </w:p>
        </w:tc>
      </w:tr>
    </w:tbl>
    <w:p>
      <w:pPr>
        <w:pStyle w:val="131"/>
        <w:framePr w:wrap="around"/>
        <w:rPr>
          <w:rFonts w:ascii="Times New Roman"/>
        </w:rPr>
      </w:pPr>
    </w:p>
    <w:p>
      <w:pPr>
        <w:pStyle w:val="131"/>
        <w:framePr w:wrap="around"/>
        <w:rPr>
          <w:rFonts w:ascii="Times New Roman"/>
        </w:rPr>
      </w:pPr>
    </w:p>
    <w:p>
      <w:pPr>
        <w:pStyle w:val="51"/>
        <w:framePr w:wrap="around"/>
        <w:rPr>
          <w:rFonts w:ascii="Times New Roman"/>
        </w:rPr>
      </w:pPr>
      <w:r>
        <w:rPr>
          <w:rFonts w:ascii="Times New Roman"/>
        </w:rPr>
        <w:t>杨桃</w:t>
      </w:r>
      <w:r>
        <w:rPr>
          <w:rFonts w:hint="eastAsia" w:ascii="Times New Roman"/>
        </w:rPr>
        <w:t>栽培</w:t>
      </w:r>
      <w:r>
        <w:rPr>
          <w:rFonts w:ascii="Times New Roman"/>
        </w:rPr>
        <w:t>技术规程</w:t>
      </w:r>
    </w:p>
    <w:p>
      <w:pPr>
        <w:pStyle w:val="50"/>
        <w:framePr w:wrap="around"/>
      </w:pPr>
      <w:r>
        <w:t xml:space="preserve">Technical Rules For </w:t>
      </w:r>
      <w:r>
        <w:rPr>
          <w:i/>
          <w:iCs/>
        </w:rPr>
        <w:t>Crambola</w:t>
      </w:r>
      <w:r>
        <w:rPr>
          <w:rFonts w:hint="eastAsia"/>
          <w:i/>
          <w:iCs/>
        </w:rPr>
        <w:t xml:space="preserve"> </w:t>
      </w:r>
      <w:r>
        <w:rPr>
          <w:rFonts w:hint="eastAsia"/>
          <w:iCs/>
        </w:rPr>
        <w:t>C</w:t>
      </w:r>
      <w:r>
        <w:rPr>
          <w:iCs/>
        </w:rPr>
        <w:t>ultivation</w:t>
      </w:r>
    </w:p>
    <w:tbl>
      <w:tblPr>
        <w:tblStyle w:val="32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48"/>
              <w:framePr w:wrap="around"/>
              <w:rPr>
                <w:rFonts w:ascii="Times New Roman"/>
              </w:rPr>
            </w:pPr>
            <w:r>
              <w:rPr>
                <w:rFonts w:ascii="Times New Roman"/>
              </w:rPr>
              <mc:AlternateContent>
                <mc:Choice Requires="wps">
                  <w:drawing>
                    <wp:anchor distT="0" distB="0" distL="114300" distR="114300" simplePos="0" relativeHeight="251661312" behindDoc="1" locked="1" layoutInCell="1" allowOverlap="1">
                      <wp:simplePos x="0" y="0"/>
                      <wp:positionH relativeFrom="column">
                        <wp:posOffset>2200910</wp:posOffset>
                      </wp:positionH>
                      <wp:positionV relativeFrom="paragraph">
                        <wp:posOffset>573405</wp:posOffset>
                      </wp:positionV>
                      <wp:extent cx="1905000" cy="254000"/>
                      <wp:effectExtent l="0" t="0" r="0" b="12700"/>
                      <wp:wrapNone/>
                      <wp:docPr id="3" name="RQ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0" cy="254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bodyPr wrap="square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Q" o:spid="_x0000_s1026" o:spt="1" style="position:absolute;left:0pt;margin-left:173.3pt;margin-top:45.15pt;height:20pt;width:150pt;z-index:-251655168;mso-width-relative:page;mso-height-relative:page;" fillcolor="#FFFFFF" filled="t" stroked="f" coordsize="21600,21600" o:gfxdata="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BYmuktUAAAAKAQAA&#10;DwAAAAAAAAABACAAAAAiAAAAZHJzL2Rvd25yZXYueG1sUEsBAhQAFAAAAAgAh07iQI1ieZWqAQAA&#10;ZwMAAA4AAAAAAAAAAQAgAAAAJAEAAGRycy9lMm9Eb2MueG1sUEsFBgAAAAAGAAYAWQEAAEAFAAAA&#10;AA==&#10;">
                      <v:fill on="t" focussize="0,0"/>
                      <v:stroke on="f"/>
                      <v:imagedata o:title=""/>
                      <o:lock v:ext="edit" aspectratio="f"/>
                      <w10:anchorlock/>
                    </v:rect>
                  </w:pict>
                </mc:Fallback>
              </mc:AlternateContent>
            </w:r>
            <w:r>
              <w:rPr>
                <w:rFonts w:ascii="Times New Roman"/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>
                      <wp:simplePos x="0" y="0"/>
                      <wp:positionH relativeFrom="column">
                        <wp:posOffset>2454910</wp:posOffset>
                      </wp:positionH>
                      <wp:positionV relativeFrom="paragraph">
                        <wp:posOffset>255905</wp:posOffset>
                      </wp:positionV>
                      <wp:extent cx="1270000" cy="304800"/>
                      <wp:effectExtent l="0" t="0" r="6350" b="0"/>
                      <wp:wrapNone/>
                      <wp:docPr id="2" name="LB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70000" cy="304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bodyPr wrap="square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LB" o:spid="_x0000_s1026" o:spt="1" style="position:absolute;left:0pt;margin-left:193.3pt;margin-top:20.15pt;height:24pt;width:100pt;z-index:-251656192;mso-width-relative:page;mso-height-relative:page;" fillcolor="#FFFFFF" filled="t" stroked="f" coordsize="21600,21600" o:gfxdata="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A+GL5dYAAAAJAQAA&#10;DwAAAAAAAAABACAAAAAiAAAAZHJzL2Rvd25yZXYueG1sUEsBAhQAFAAAAAgAh07iQBXfBLqpAQAA&#10;ZwMAAA4AAAAAAAAAAQAgAAAAJQEAAGRycy9lMm9Eb2MueG1sUEsFBgAAAAAGAAYAWQEAAEAFAAAA&#10;AA==&#10;">
                      <v:fill on="t" focussize="0,0"/>
                      <v:stroke on="f"/>
                      <v:imagedata o:title=""/>
                      <o:lock v:ext="edit" aspectratio="f"/>
                    </v:rect>
                  </w:pict>
                </mc:Fallback>
              </mc:AlternateConten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83"/>
              <w:framePr w:wrap="around"/>
              <w:rPr>
                <w:rFonts w:hint="default" w:ascii="Times New Roman" w:eastAsia="宋体"/>
                <w:lang w:val="en-US" w:eastAsia="zh-CN"/>
              </w:rPr>
            </w:pPr>
            <w:r>
              <w:rPr>
                <w:rFonts w:hint="eastAsia" w:ascii="Times New Roman"/>
                <w:lang w:val="en-US" w:eastAsia="zh-CN"/>
              </w:rPr>
              <w:t>(征求意见稿)</w:t>
            </w:r>
          </w:p>
        </w:tc>
      </w:tr>
    </w:tbl>
    <w:p>
      <w:pPr>
        <w:pStyle w:val="121"/>
        <w:framePr w:wrap="around" w:hAnchor="page" w:x="1153" w:y="14102"/>
      </w:pPr>
      <w:r>
        <w:t>202</w:t>
      </w:r>
      <w:r>
        <w:rPr>
          <w:rFonts w:hint="eastAsia"/>
          <w:lang w:val="en-US" w:eastAsia="zh-CN"/>
        </w:rPr>
        <w:t>5</w:t>
      </w:r>
      <w:r>
        <w:t xml:space="preserve"> - 00 - 00发布</w:t>
      </w:r>
      <w:r>
        <mc:AlternateContent>
          <mc:Choice Requires="wps">
            <w:drawing>
              <wp:anchor distT="0" distB="0" distL="114300" distR="114300" simplePos="0" relativeHeight="251663360" behindDoc="0" locked="1" layoutInCell="1" allowOverlap="1">
                <wp:simplePos x="0" y="0"/>
                <wp:positionH relativeFrom="column">
                  <wp:posOffset>-635</wp:posOffset>
                </wp:positionH>
                <wp:positionV relativeFrom="page">
                  <wp:posOffset>9251950</wp:posOffset>
                </wp:positionV>
                <wp:extent cx="6120130" cy="0"/>
                <wp:effectExtent l="0" t="0" r="0" b="0"/>
                <wp:wrapNone/>
                <wp:docPr id="5" name="直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0" o:spid="_x0000_s1026" o:spt="20" style="position:absolute;left:0pt;margin-left:-0.05pt;margin-top:728.5pt;height:0pt;width:481.9pt;mso-position-vertical-relative:page;z-index:251663360;mso-width-relative:page;mso-height-relative:page;" filled="f" stroked="t" coordsize="21600,21600" o:gfxdata="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CWHazzWAAAACwEAAA8AAAAA&#10;AAAAAQAgAAAAIgAAAGRycy9kb3ducmV2LnhtbFBLAQIUABQAAAAIAIdO4kDzkRwM3QEAANADAAAO&#10;AAAAAAAAAAEAIAAAACUBAABkcnMvZTJvRG9jLnhtbFBLBQYAAAAABgAGAFkBAAB0BQAAAAA=&#10;">
                <v:fill on="f" focussize="0,0"/>
                <v:stroke color="#000000" joinstyle="round"/>
                <v:imagedata o:title=""/>
                <o:lock v:ext="edit" aspectratio="f"/>
                <w10:anchorlock/>
              </v:line>
            </w:pict>
          </mc:Fallback>
        </mc:AlternateContent>
      </w:r>
    </w:p>
    <w:p>
      <w:pPr>
        <w:pStyle w:val="118"/>
        <w:framePr w:wrap="around" w:hAnchor="page" w:x="6800" w:y="14103"/>
      </w:pPr>
      <w:r>
        <w:t>202</w:t>
      </w:r>
      <w:r>
        <w:rPr>
          <w:rFonts w:hint="eastAsia"/>
          <w:lang w:val="en-US" w:eastAsia="zh-CN"/>
        </w:rPr>
        <w:t>5</w:t>
      </w:r>
      <w:r>
        <w:t xml:space="preserve"> - 00 - 00实施</w:t>
      </w:r>
    </w:p>
    <w:p>
      <w:pPr>
        <w:pStyle w:val="84"/>
        <w:framePr w:wrap="around"/>
        <w:rPr>
          <w:rFonts w:ascii="Times New Roman"/>
        </w:rPr>
      </w:pPr>
      <w:r>
        <w:rPr>
          <w:rFonts w:hint="eastAsia" w:ascii="Times New Roman"/>
        </w:rPr>
        <w:t>广东省</w:t>
      </w:r>
      <w:r>
        <w:rPr>
          <w:rFonts w:ascii="Times New Roman"/>
        </w:rPr>
        <w:t>市场监督管理局   </w:t>
      </w:r>
      <w:r>
        <w:rPr>
          <w:rStyle w:val="135"/>
          <w:rFonts w:ascii="Times New Roman"/>
        </w:rPr>
        <w:t>发布</w:t>
      </w:r>
    </w:p>
    <w:p>
      <w:pPr>
        <w:pStyle w:val="23"/>
        <w:rPr>
          <w:rFonts w:ascii="Times New Roman"/>
        </w:rPr>
        <w:sectPr>
          <w:pgSz w:w="11906" w:h="16838"/>
          <w:pgMar w:top="567" w:right="850" w:bottom="1134" w:left="1418" w:header="0" w:footer="0" w:gutter="0"/>
          <w:pgNumType w:start="1"/>
          <w:cols w:space="720" w:num="1"/>
          <w:docGrid w:type="lines" w:linePitch="312" w:charSpace="0"/>
        </w:sectPr>
      </w:pPr>
      <w:r>
        <w:rPr>
          <w:rFonts w:ascii="Times New Roman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-66675</wp:posOffset>
                </wp:positionH>
                <wp:positionV relativeFrom="paragraph">
                  <wp:posOffset>396240</wp:posOffset>
                </wp:positionV>
                <wp:extent cx="866775" cy="198120"/>
                <wp:effectExtent l="0" t="0" r="9525" b="11430"/>
                <wp:wrapNone/>
                <wp:docPr id="4" name="BAH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6775" cy="198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rect id="BAH" o:spid="_x0000_s1026" o:spt="1" style="position:absolute;left:0pt;margin-left:-5.25pt;margin-top:31.2pt;height:15.6pt;width:68.25pt;z-index:-251654144;mso-width-relative:page;mso-height-relative:page;" fillcolor="#FFFFFF" filled="t" stroked="f" coordsize="21600,21600" o:gfxdata="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BkGQBT&#10;1wAAAAkBAAAPAAAAAAAAAAEAIAAAACIAAABkcnMvZG93bnJldi54bWxQSwECFAAUAAAACACHTuJA&#10;sTPozLABAABnAwAADgAAAAAAAAABACAAAAAmAQAAZHJzL2Uyb0RvYy54bWxQSwUGAAAAAAYABgBZ&#10;AQAASAUAAAAA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  <w:r>
        <w:rPr>
          <w:rFonts w:ascii="Times New Roma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-635</wp:posOffset>
                </wp:positionH>
                <wp:positionV relativeFrom="paragraph">
                  <wp:posOffset>2339975</wp:posOffset>
                </wp:positionV>
                <wp:extent cx="6120130" cy="0"/>
                <wp:effectExtent l="0" t="0" r="0" b="0"/>
                <wp:wrapNone/>
                <wp:docPr id="6" name="直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1" o:spid="_x0000_s1026" o:spt="20" style="position:absolute;left:0pt;margin-left:-0.05pt;margin-top:184.25pt;height:0pt;width:481.9pt;z-index:251664384;mso-width-relative:page;mso-height-relative:page;" filled="f" stroked="t" coordsize="21600,21600" o:gfxdata="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EJB4l/XAAAACQEAAA8A&#10;AAAAAAAAAQAgAAAAIgAAAGRycy9kb3ducmV2LnhtbFBLAQIUABQAAAAIAIdO4kAyqset3wEAANAD&#10;AAAOAAAAAAAAAAEAIAAAACYBAABkcnMvZTJvRG9jLnhtbFBLBQYAAAAABgAGAFkBAAB3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pStyle w:val="53"/>
        <w:rPr>
          <w:rFonts w:ascii="Times New Roman"/>
        </w:rPr>
      </w:pPr>
      <w:r>
        <w:rPr>
          <w:rFonts w:ascii="Times New Roman"/>
        </w:rPr>
        <w:t>目</w:t>
      </w:r>
      <w:bookmarkStart w:id="0" w:name="BKML"/>
      <w:r>
        <w:rPr>
          <w:rFonts w:ascii="Times New Roman"/>
        </w:rPr>
        <w:t>  次</w:t>
      </w:r>
      <w:bookmarkEnd w:id="0"/>
    </w:p>
    <w:p>
      <w:pPr>
        <w:pStyle w:val="19"/>
        <w:tabs>
          <w:tab w:val="right" w:leader="dot" w:pos="9354"/>
          <w:tab w:val="clear" w:pos="9242"/>
        </w:tabs>
      </w:pPr>
      <w:r>
        <w:rPr>
          <w:rFonts w:ascii="Times New Roman"/>
        </w:rPr>
        <w:fldChar w:fldCharType="begin"/>
      </w:r>
      <w:r>
        <w:rPr>
          <w:rFonts w:ascii="Times New Roman"/>
        </w:rPr>
        <w:instrText xml:space="preserve"> TOC \h \z \t"前言、引言标题,1,参考文献、索引标题,1,章标题,1,参考文献,1,附录标识,1,一级条标题, 3,二级条标题, 4" \* MERGEFORMAT </w:instrText>
      </w:r>
      <w:r>
        <w:rPr>
          <w:rFonts w:ascii="Times New Roman"/>
        </w:rPr>
        <w:fldChar w:fldCharType="separate"/>
      </w:r>
      <w:r>
        <w:rPr>
          <w:rFonts w:ascii="Times New Roman"/>
        </w:rPr>
        <w:fldChar w:fldCharType="begin"/>
      </w:r>
      <w:r>
        <w:rPr>
          <w:rFonts w:ascii="Times New Roman"/>
        </w:rPr>
        <w:instrText xml:space="preserve"> HYPERLINK \l _Toc28802 </w:instrText>
      </w:r>
      <w:r>
        <w:rPr>
          <w:rFonts w:ascii="Times New Roman"/>
        </w:rPr>
        <w:fldChar w:fldCharType="separate"/>
      </w:r>
      <w:r>
        <w:rPr>
          <w:rFonts w:ascii="Times New Roman"/>
        </w:rPr>
        <w:t>前  言</w:t>
      </w:r>
      <w:r>
        <w:tab/>
      </w:r>
      <w:r>
        <w:fldChar w:fldCharType="begin"/>
      </w:r>
      <w:r>
        <w:instrText xml:space="preserve"> PAGEREF _Toc28802 \h </w:instrText>
      </w:r>
      <w:r>
        <w:fldChar w:fldCharType="separate"/>
      </w:r>
      <w:r>
        <w:t>3</w:t>
      </w:r>
      <w:r>
        <w:fldChar w:fldCharType="end"/>
      </w:r>
      <w:r>
        <w:rPr>
          <w:rFonts w:ascii="Times New Roman"/>
        </w:rPr>
        <w:fldChar w:fldCharType="end"/>
      </w:r>
    </w:p>
    <w:p>
      <w:pPr>
        <w:pStyle w:val="19"/>
        <w:tabs>
          <w:tab w:val="right" w:leader="dot" w:pos="9354"/>
          <w:tab w:val="clear" w:pos="9242"/>
        </w:tabs>
      </w:pPr>
      <w:r>
        <w:rPr>
          <w:rFonts w:ascii="Times New Roman"/>
        </w:rPr>
        <w:fldChar w:fldCharType="begin"/>
      </w:r>
      <w:r>
        <w:rPr>
          <w:rFonts w:ascii="Times New Roman"/>
        </w:rPr>
        <w:instrText xml:space="preserve"> HYPERLINK \l _Toc24141 </w:instrText>
      </w:r>
      <w:r>
        <w:rPr>
          <w:rFonts w:ascii="Times New Roman"/>
        </w:rPr>
        <w:fldChar w:fldCharType="separate"/>
      </w:r>
      <w:r>
        <w:rPr>
          <w:rFonts w:hint="eastAsia" w:ascii="黑体" w:hAnsi="Times New Roman" w:eastAsia="黑体"/>
          <w:i w:val="0"/>
          <w:szCs w:val="21"/>
        </w:rPr>
        <w:t xml:space="preserve">1 </w:t>
      </w:r>
      <w:r>
        <w:rPr>
          <w:rFonts w:ascii="Times New Roman"/>
        </w:rPr>
        <w:t>范围</w:t>
      </w:r>
      <w:r>
        <w:tab/>
      </w:r>
      <w:r>
        <w:fldChar w:fldCharType="begin"/>
      </w:r>
      <w:r>
        <w:instrText xml:space="preserve"> PAGEREF _Toc24141 \h </w:instrText>
      </w:r>
      <w:r>
        <w:fldChar w:fldCharType="separate"/>
      </w:r>
      <w:r>
        <w:t>4</w:t>
      </w:r>
      <w:r>
        <w:fldChar w:fldCharType="end"/>
      </w:r>
      <w:r>
        <w:rPr>
          <w:rFonts w:ascii="Times New Roman"/>
        </w:rPr>
        <w:fldChar w:fldCharType="end"/>
      </w:r>
    </w:p>
    <w:p>
      <w:pPr>
        <w:pStyle w:val="19"/>
        <w:tabs>
          <w:tab w:val="right" w:leader="dot" w:pos="9354"/>
          <w:tab w:val="clear" w:pos="9242"/>
        </w:tabs>
      </w:pPr>
      <w:r>
        <w:rPr>
          <w:rFonts w:ascii="Times New Roman"/>
        </w:rPr>
        <w:fldChar w:fldCharType="begin"/>
      </w:r>
      <w:r>
        <w:rPr>
          <w:rFonts w:ascii="Times New Roman"/>
        </w:rPr>
        <w:instrText xml:space="preserve"> HYPERLINK \l _Toc2758 </w:instrText>
      </w:r>
      <w:r>
        <w:rPr>
          <w:rFonts w:ascii="Times New Roman"/>
        </w:rPr>
        <w:fldChar w:fldCharType="separate"/>
      </w:r>
      <w:r>
        <w:rPr>
          <w:rFonts w:hint="eastAsia" w:ascii="黑体" w:hAnsi="Times New Roman" w:eastAsia="黑体"/>
          <w:i w:val="0"/>
          <w:szCs w:val="21"/>
        </w:rPr>
        <w:t xml:space="preserve">2 </w:t>
      </w:r>
      <w:r>
        <w:rPr>
          <w:rFonts w:ascii="Times New Roman"/>
        </w:rPr>
        <w:t>规范性引用文件</w:t>
      </w:r>
      <w:r>
        <w:tab/>
      </w:r>
      <w:r>
        <w:fldChar w:fldCharType="begin"/>
      </w:r>
      <w:r>
        <w:instrText xml:space="preserve"> PAGEREF _Toc2758 \h </w:instrText>
      </w:r>
      <w:r>
        <w:fldChar w:fldCharType="separate"/>
      </w:r>
      <w:r>
        <w:t>4</w:t>
      </w:r>
      <w:r>
        <w:fldChar w:fldCharType="end"/>
      </w:r>
      <w:r>
        <w:rPr>
          <w:rFonts w:ascii="Times New Roman"/>
        </w:rPr>
        <w:fldChar w:fldCharType="end"/>
      </w:r>
    </w:p>
    <w:p>
      <w:pPr>
        <w:pStyle w:val="19"/>
        <w:tabs>
          <w:tab w:val="right" w:leader="dot" w:pos="9354"/>
          <w:tab w:val="clear" w:pos="9242"/>
        </w:tabs>
      </w:pPr>
      <w:r>
        <w:rPr>
          <w:rFonts w:ascii="Times New Roman"/>
        </w:rPr>
        <w:fldChar w:fldCharType="begin"/>
      </w:r>
      <w:r>
        <w:rPr>
          <w:rFonts w:ascii="Times New Roman"/>
        </w:rPr>
        <w:instrText xml:space="preserve"> HYPERLINK \l _Toc13696 </w:instrText>
      </w:r>
      <w:r>
        <w:rPr>
          <w:rFonts w:ascii="Times New Roman"/>
        </w:rPr>
        <w:fldChar w:fldCharType="separate"/>
      </w:r>
      <w:r>
        <w:rPr>
          <w:rFonts w:hint="eastAsia" w:ascii="黑体" w:hAnsi="Times New Roman" w:eastAsia="黑体"/>
          <w:i w:val="0"/>
          <w:szCs w:val="21"/>
        </w:rPr>
        <w:t xml:space="preserve">3 </w:t>
      </w:r>
      <w:r>
        <w:rPr>
          <w:rFonts w:hint="eastAsia" w:ascii="Times New Roman"/>
        </w:rPr>
        <w:t>术语和定义</w:t>
      </w:r>
      <w:r>
        <w:tab/>
      </w:r>
      <w:r>
        <w:fldChar w:fldCharType="begin"/>
      </w:r>
      <w:r>
        <w:instrText xml:space="preserve"> PAGEREF _Toc13696 \h </w:instrText>
      </w:r>
      <w:r>
        <w:fldChar w:fldCharType="separate"/>
      </w:r>
      <w:r>
        <w:t>4</w:t>
      </w:r>
      <w:r>
        <w:fldChar w:fldCharType="end"/>
      </w:r>
      <w:r>
        <w:rPr>
          <w:rFonts w:ascii="Times New Roman"/>
        </w:rPr>
        <w:fldChar w:fldCharType="end"/>
      </w:r>
    </w:p>
    <w:p>
      <w:pPr>
        <w:pStyle w:val="19"/>
        <w:tabs>
          <w:tab w:val="right" w:leader="dot" w:pos="9354"/>
          <w:tab w:val="clear" w:pos="9242"/>
        </w:tabs>
      </w:pPr>
      <w:r>
        <w:rPr>
          <w:rFonts w:ascii="Times New Roman"/>
        </w:rPr>
        <w:fldChar w:fldCharType="begin"/>
      </w:r>
      <w:r>
        <w:rPr>
          <w:rFonts w:ascii="Times New Roman"/>
        </w:rPr>
        <w:instrText xml:space="preserve"> HYPERLINK \l _Toc12241 </w:instrText>
      </w:r>
      <w:r>
        <w:rPr>
          <w:rFonts w:ascii="Times New Roman"/>
        </w:rPr>
        <w:fldChar w:fldCharType="separate"/>
      </w:r>
      <w:r>
        <w:rPr>
          <w:rFonts w:hint="eastAsia" w:ascii="黑体" w:hAnsi="Times New Roman" w:eastAsia="黑体"/>
          <w:i w:val="0"/>
          <w:szCs w:val="21"/>
        </w:rPr>
        <w:t xml:space="preserve">4 </w:t>
      </w:r>
      <w:r>
        <w:rPr>
          <w:rFonts w:ascii="Times New Roman"/>
        </w:rPr>
        <w:t>育苗</w:t>
      </w:r>
      <w:r>
        <w:tab/>
      </w:r>
      <w:r>
        <w:fldChar w:fldCharType="begin"/>
      </w:r>
      <w:r>
        <w:instrText xml:space="preserve"> PAGEREF _Toc12241 \h </w:instrText>
      </w:r>
      <w:r>
        <w:fldChar w:fldCharType="separate"/>
      </w:r>
      <w:r>
        <w:t>4</w:t>
      </w:r>
      <w:r>
        <w:fldChar w:fldCharType="end"/>
      </w:r>
      <w:r>
        <w:rPr>
          <w:rFonts w:ascii="Times New Roman"/>
        </w:rPr>
        <w:fldChar w:fldCharType="end"/>
      </w:r>
    </w:p>
    <w:p>
      <w:pPr>
        <w:pStyle w:val="13"/>
        <w:tabs>
          <w:tab w:val="right" w:leader="dot" w:pos="9354"/>
          <w:tab w:val="clear" w:pos="9242"/>
        </w:tabs>
      </w:pPr>
      <w:r>
        <w:rPr>
          <w:rFonts w:ascii="Times New Roman"/>
        </w:rPr>
        <w:fldChar w:fldCharType="begin"/>
      </w:r>
      <w:r>
        <w:rPr>
          <w:rFonts w:ascii="Times New Roman"/>
        </w:rPr>
        <w:instrText xml:space="preserve"> HYPERLINK \l _Toc28819 </w:instrText>
      </w:r>
      <w:r>
        <w:rPr>
          <w:rFonts w:ascii="Times New Roman"/>
        </w:rPr>
        <w:fldChar w:fldCharType="separate"/>
      </w:r>
      <w:r>
        <w:rPr>
          <w:rFonts w:hint="eastAsia" w:ascii="黑体" w:hAnsi="Times New Roman" w:eastAsia="黑体" w:cs="Times New Roman"/>
          <w:bCs w:val="0"/>
          <w:i w:val="0"/>
          <w:iCs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szCs w:val="21"/>
          <w:vertAlign w:val="baseline"/>
        </w:rPr>
        <w:t xml:space="preserve">4.1 </w:t>
      </w:r>
      <w:r>
        <w:rPr>
          <w:rFonts w:ascii="Times New Roman"/>
        </w:rPr>
        <w:t>砧木培育</w:t>
      </w:r>
      <w:r>
        <w:tab/>
      </w:r>
      <w:r>
        <w:fldChar w:fldCharType="begin"/>
      </w:r>
      <w:r>
        <w:instrText xml:space="preserve"> PAGEREF _Toc28819 \h </w:instrText>
      </w:r>
      <w:r>
        <w:fldChar w:fldCharType="separate"/>
      </w:r>
      <w:r>
        <w:t>4</w:t>
      </w:r>
      <w:r>
        <w:fldChar w:fldCharType="end"/>
      </w:r>
      <w:r>
        <w:rPr>
          <w:rFonts w:ascii="Times New Roman"/>
        </w:rPr>
        <w:fldChar w:fldCharType="end"/>
      </w:r>
    </w:p>
    <w:p>
      <w:pPr>
        <w:pStyle w:val="13"/>
        <w:tabs>
          <w:tab w:val="right" w:leader="dot" w:pos="9354"/>
          <w:tab w:val="clear" w:pos="9242"/>
        </w:tabs>
      </w:pPr>
      <w:r>
        <w:rPr>
          <w:rFonts w:ascii="Times New Roman"/>
        </w:rPr>
        <w:fldChar w:fldCharType="begin"/>
      </w:r>
      <w:r>
        <w:rPr>
          <w:rFonts w:ascii="Times New Roman"/>
        </w:rPr>
        <w:instrText xml:space="preserve"> HYPERLINK \l _Toc412 </w:instrText>
      </w:r>
      <w:r>
        <w:rPr>
          <w:rFonts w:ascii="Times New Roman"/>
        </w:rPr>
        <w:fldChar w:fldCharType="separate"/>
      </w:r>
      <w:r>
        <w:rPr>
          <w:rFonts w:hint="eastAsia" w:ascii="黑体" w:hAnsi="Times New Roman" w:eastAsia="黑体" w:cs="Times New Roman"/>
          <w:bCs w:val="0"/>
          <w:i w:val="0"/>
          <w:iCs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szCs w:val="21"/>
          <w:vertAlign w:val="baseline"/>
        </w:rPr>
        <w:t xml:space="preserve">4.2 </w:t>
      </w:r>
      <w:r>
        <w:rPr>
          <w:rFonts w:ascii="Times New Roman"/>
        </w:rPr>
        <w:t>采穗</w:t>
      </w:r>
      <w:r>
        <w:tab/>
      </w:r>
      <w:r>
        <w:fldChar w:fldCharType="begin"/>
      </w:r>
      <w:r>
        <w:instrText xml:space="preserve"> PAGEREF _Toc412 \h </w:instrText>
      </w:r>
      <w:r>
        <w:fldChar w:fldCharType="separate"/>
      </w:r>
      <w:r>
        <w:t>4</w:t>
      </w:r>
      <w:r>
        <w:fldChar w:fldCharType="end"/>
      </w:r>
      <w:r>
        <w:rPr>
          <w:rFonts w:ascii="Times New Roman"/>
        </w:rPr>
        <w:fldChar w:fldCharType="end"/>
      </w:r>
    </w:p>
    <w:p>
      <w:pPr>
        <w:pStyle w:val="13"/>
        <w:tabs>
          <w:tab w:val="right" w:leader="dot" w:pos="9354"/>
          <w:tab w:val="clear" w:pos="9242"/>
        </w:tabs>
      </w:pPr>
      <w:r>
        <w:rPr>
          <w:rFonts w:ascii="Times New Roman"/>
        </w:rPr>
        <w:fldChar w:fldCharType="begin"/>
      </w:r>
      <w:r>
        <w:rPr>
          <w:rFonts w:ascii="Times New Roman"/>
        </w:rPr>
        <w:instrText xml:space="preserve"> HYPERLINK \l _Toc27973 </w:instrText>
      </w:r>
      <w:r>
        <w:rPr>
          <w:rFonts w:ascii="Times New Roman"/>
        </w:rPr>
        <w:fldChar w:fldCharType="separate"/>
      </w:r>
      <w:r>
        <w:rPr>
          <w:rFonts w:hint="eastAsia" w:ascii="黑体" w:hAnsi="Times New Roman" w:eastAsia="黑体" w:cs="Times New Roman"/>
          <w:bCs w:val="0"/>
          <w:i w:val="0"/>
          <w:iCs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szCs w:val="21"/>
          <w:vertAlign w:val="baseline"/>
        </w:rPr>
        <w:t xml:space="preserve">4.3 </w:t>
      </w:r>
      <w:r>
        <w:rPr>
          <w:rFonts w:ascii="Times New Roman"/>
        </w:rPr>
        <w:t>嫁接</w:t>
      </w:r>
      <w:r>
        <w:tab/>
      </w:r>
      <w:r>
        <w:fldChar w:fldCharType="begin"/>
      </w:r>
      <w:r>
        <w:instrText xml:space="preserve"> PAGEREF _Toc27973 \h </w:instrText>
      </w:r>
      <w:r>
        <w:fldChar w:fldCharType="separate"/>
      </w:r>
      <w:r>
        <w:t>5</w:t>
      </w:r>
      <w:r>
        <w:fldChar w:fldCharType="end"/>
      </w:r>
      <w:r>
        <w:rPr>
          <w:rFonts w:ascii="Times New Roman"/>
        </w:rPr>
        <w:fldChar w:fldCharType="end"/>
      </w:r>
    </w:p>
    <w:p>
      <w:pPr>
        <w:pStyle w:val="13"/>
        <w:tabs>
          <w:tab w:val="right" w:leader="dot" w:pos="9354"/>
          <w:tab w:val="clear" w:pos="9242"/>
        </w:tabs>
      </w:pPr>
      <w:r>
        <w:rPr>
          <w:rFonts w:ascii="Times New Roman"/>
        </w:rPr>
        <w:fldChar w:fldCharType="begin"/>
      </w:r>
      <w:r>
        <w:rPr>
          <w:rFonts w:ascii="Times New Roman"/>
        </w:rPr>
        <w:instrText xml:space="preserve"> HYPERLINK \l _Toc17387 </w:instrText>
      </w:r>
      <w:r>
        <w:rPr>
          <w:rFonts w:ascii="Times New Roman"/>
        </w:rPr>
        <w:fldChar w:fldCharType="separate"/>
      </w:r>
      <w:r>
        <w:rPr>
          <w:rFonts w:hint="eastAsia" w:ascii="黑体" w:hAnsi="Times New Roman" w:eastAsia="黑体" w:cs="Times New Roman"/>
          <w:bCs w:val="0"/>
          <w:i w:val="0"/>
          <w:iCs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szCs w:val="21"/>
          <w:vertAlign w:val="baseline"/>
        </w:rPr>
        <w:t xml:space="preserve">4.4 </w:t>
      </w:r>
      <w:r>
        <w:rPr>
          <w:rFonts w:ascii="Times New Roman"/>
        </w:rPr>
        <w:t>嫁接苗管理</w:t>
      </w:r>
      <w:r>
        <w:tab/>
      </w:r>
      <w:r>
        <w:fldChar w:fldCharType="begin"/>
      </w:r>
      <w:r>
        <w:instrText xml:space="preserve"> PAGEREF _Toc17387 \h </w:instrText>
      </w:r>
      <w:r>
        <w:fldChar w:fldCharType="separate"/>
      </w:r>
      <w:r>
        <w:t>5</w:t>
      </w:r>
      <w:r>
        <w:fldChar w:fldCharType="end"/>
      </w:r>
      <w:r>
        <w:rPr>
          <w:rFonts w:ascii="Times New Roman"/>
        </w:rPr>
        <w:fldChar w:fldCharType="end"/>
      </w:r>
    </w:p>
    <w:p>
      <w:pPr>
        <w:pStyle w:val="19"/>
        <w:tabs>
          <w:tab w:val="right" w:leader="dot" w:pos="9354"/>
          <w:tab w:val="clear" w:pos="9242"/>
        </w:tabs>
      </w:pPr>
      <w:r>
        <w:rPr>
          <w:rFonts w:ascii="Times New Roman"/>
        </w:rPr>
        <w:fldChar w:fldCharType="begin"/>
      </w:r>
      <w:r>
        <w:rPr>
          <w:rFonts w:ascii="Times New Roman"/>
        </w:rPr>
        <w:instrText xml:space="preserve"> HYPERLINK \l _Toc20806 </w:instrText>
      </w:r>
      <w:r>
        <w:rPr>
          <w:rFonts w:ascii="Times New Roman"/>
        </w:rPr>
        <w:fldChar w:fldCharType="separate"/>
      </w:r>
      <w:r>
        <w:rPr>
          <w:rFonts w:hint="eastAsia" w:ascii="黑体" w:hAnsi="Times New Roman" w:eastAsia="黑体"/>
          <w:i w:val="0"/>
          <w:szCs w:val="21"/>
        </w:rPr>
        <w:t xml:space="preserve">5 </w:t>
      </w:r>
      <w:r>
        <w:rPr>
          <w:rFonts w:ascii="Times New Roman"/>
        </w:rPr>
        <w:t>建园</w:t>
      </w:r>
      <w:r>
        <w:tab/>
      </w:r>
      <w:r>
        <w:fldChar w:fldCharType="begin"/>
      </w:r>
      <w:r>
        <w:instrText xml:space="preserve"> PAGEREF _Toc20806 \h </w:instrText>
      </w:r>
      <w:r>
        <w:fldChar w:fldCharType="separate"/>
      </w:r>
      <w:r>
        <w:t>5</w:t>
      </w:r>
      <w:r>
        <w:fldChar w:fldCharType="end"/>
      </w:r>
      <w:r>
        <w:rPr>
          <w:rFonts w:ascii="Times New Roman"/>
        </w:rPr>
        <w:fldChar w:fldCharType="end"/>
      </w:r>
    </w:p>
    <w:p>
      <w:pPr>
        <w:pStyle w:val="13"/>
        <w:tabs>
          <w:tab w:val="right" w:leader="dot" w:pos="9354"/>
          <w:tab w:val="clear" w:pos="9242"/>
        </w:tabs>
      </w:pPr>
      <w:r>
        <w:rPr>
          <w:rFonts w:ascii="Times New Roman"/>
        </w:rPr>
        <w:fldChar w:fldCharType="begin"/>
      </w:r>
      <w:r>
        <w:rPr>
          <w:rFonts w:ascii="Times New Roman"/>
        </w:rPr>
        <w:instrText xml:space="preserve"> HYPERLINK \l _Toc6853 </w:instrText>
      </w:r>
      <w:r>
        <w:rPr>
          <w:rFonts w:ascii="Times New Roman"/>
        </w:rPr>
        <w:fldChar w:fldCharType="separate"/>
      </w:r>
      <w:r>
        <w:rPr>
          <w:rFonts w:hint="eastAsia" w:ascii="黑体" w:hAnsi="Times New Roman" w:eastAsia="黑体" w:cs="Times New Roman"/>
          <w:bCs w:val="0"/>
          <w:i w:val="0"/>
          <w:iCs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szCs w:val="21"/>
          <w:vertAlign w:val="baseline"/>
        </w:rPr>
        <w:t xml:space="preserve">5.1 </w:t>
      </w:r>
      <w:r>
        <w:rPr>
          <w:rFonts w:ascii="Times New Roman"/>
        </w:rPr>
        <w:t>园地选择</w:t>
      </w:r>
      <w:r>
        <w:tab/>
      </w:r>
      <w:r>
        <w:fldChar w:fldCharType="begin"/>
      </w:r>
      <w:r>
        <w:instrText xml:space="preserve"> PAGEREF _Toc6853 \h </w:instrText>
      </w:r>
      <w:r>
        <w:fldChar w:fldCharType="separate"/>
      </w:r>
      <w:r>
        <w:t>5</w:t>
      </w:r>
      <w:r>
        <w:fldChar w:fldCharType="end"/>
      </w:r>
      <w:r>
        <w:rPr>
          <w:rFonts w:ascii="Times New Roman"/>
        </w:rPr>
        <w:fldChar w:fldCharType="end"/>
      </w:r>
    </w:p>
    <w:p>
      <w:pPr>
        <w:pStyle w:val="20"/>
        <w:tabs>
          <w:tab w:val="right" w:leader="dot" w:pos="9354"/>
          <w:tab w:val="clear" w:pos="9242"/>
        </w:tabs>
      </w:pPr>
      <w:r>
        <w:rPr>
          <w:rFonts w:ascii="Times New Roman"/>
        </w:rPr>
        <w:fldChar w:fldCharType="begin"/>
      </w:r>
      <w:r>
        <w:rPr>
          <w:rFonts w:ascii="Times New Roman"/>
        </w:rPr>
        <w:instrText xml:space="preserve"> HYPERLINK \l _Toc14662 </w:instrText>
      </w:r>
      <w:r>
        <w:rPr>
          <w:rFonts w:ascii="Times New Roman"/>
        </w:rPr>
        <w:fldChar w:fldCharType="separate"/>
      </w:r>
      <w:r>
        <w:rPr>
          <w:rFonts w:hint="eastAsia" w:ascii="黑体" w:hAnsi="Times New Roman" w:eastAsia="黑体"/>
          <w:i w:val="0"/>
        </w:rPr>
        <w:t xml:space="preserve">5.1.1 </w:t>
      </w:r>
      <w:r>
        <w:rPr>
          <w:rFonts w:ascii="Times New Roman"/>
        </w:rPr>
        <w:t>土壤条件与立地条件</w:t>
      </w:r>
      <w:r>
        <w:tab/>
      </w:r>
      <w:r>
        <w:fldChar w:fldCharType="begin"/>
      </w:r>
      <w:r>
        <w:instrText xml:space="preserve"> PAGEREF _Toc14662 \h </w:instrText>
      </w:r>
      <w:r>
        <w:fldChar w:fldCharType="separate"/>
      </w:r>
      <w:r>
        <w:t>5</w:t>
      </w:r>
      <w:r>
        <w:fldChar w:fldCharType="end"/>
      </w:r>
      <w:r>
        <w:rPr>
          <w:rFonts w:ascii="Times New Roman"/>
        </w:rPr>
        <w:fldChar w:fldCharType="end"/>
      </w:r>
    </w:p>
    <w:p>
      <w:pPr>
        <w:pStyle w:val="20"/>
        <w:tabs>
          <w:tab w:val="right" w:leader="dot" w:pos="9354"/>
          <w:tab w:val="clear" w:pos="9242"/>
        </w:tabs>
      </w:pPr>
      <w:r>
        <w:rPr>
          <w:rFonts w:ascii="Times New Roman"/>
        </w:rPr>
        <w:fldChar w:fldCharType="begin"/>
      </w:r>
      <w:r>
        <w:rPr>
          <w:rFonts w:ascii="Times New Roman"/>
        </w:rPr>
        <w:instrText xml:space="preserve"> HYPERLINK \l _Toc15796 </w:instrText>
      </w:r>
      <w:r>
        <w:rPr>
          <w:rFonts w:ascii="Times New Roman"/>
        </w:rPr>
        <w:fldChar w:fldCharType="separate"/>
      </w:r>
      <w:r>
        <w:rPr>
          <w:rFonts w:hint="eastAsia" w:ascii="黑体" w:hAnsi="Times New Roman" w:eastAsia="黑体"/>
          <w:i w:val="0"/>
        </w:rPr>
        <w:t xml:space="preserve">5.1.2 </w:t>
      </w:r>
      <w:r>
        <w:rPr>
          <w:rFonts w:ascii="Times New Roman"/>
        </w:rPr>
        <w:t>气候条件与空气质量</w:t>
      </w:r>
      <w:r>
        <w:tab/>
      </w:r>
      <w:r>
        <w:fldChar w:fldCharType="begin"/>
      </w:r>
      <w:r>
        <w:instrText xml:space="preserve"> PAGEREF _Toc15796 \h </w:instrText>
      </w:r>
      <w:r>
        <w:fldChar w:fldCharType="separate"/>
      </w:r>
      <w:r>
        <w:t>5</w:t>
      </w:r>
      <w:r>
        <w:fldChar w:fldCharType="end"/>
      </w:r>
      <w:r>
        <w:rPr>
          <w:rFonts w:ascii="Times New Roman"/>
        </w:rPr>
        <w:fldChar w:fldCharType="end"/>
      </w:r>
    </w:p>
    <w:p>
      <w:pPr>
        <w:pStyle w:val="13"/>
        <w:tabs>
          <w:tab w:val="right" w:leader="dot" w:pos="9354"/>
          <w:tab w:val="clear" w:pos="9242"/>
        </w:tabs>
      </w:pPr>
      <w:r>
        <w:rPr>
          <w:rFonts w:ascii="Times New Roman"/>
        </w:rPr>
        <w:fldChar w:fldCharType="begin"/>
      </w:r>
      <w:r>
        <w:rPr>
          <w:rFonts w:ascii="Times New Roman"/>
        </w:rPr>
        <w:instrText xml:space="preserve"> HYPERLINK \l _Toc24007 </w:instrText>
      </w:r>
      <w:r>
        <w:rPr>
          <w:rFonts w:ascii="Times New Roman"/>
        </w:rPr>
        <w:fldChar w:fldCharType="separate"/>
      </w:r>
      <w:r>
        <w:rPr>
          <w:rFonts w:hint="eastAsia" w:ascii="黑体" w:hAnsi="Times New Roman" w:eastAsia="黑体" w:cs="Times New Roman"/>
          <w:bCs w:val="0"/>
          <w:i w:val="0"/>
          <w:iCs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szCs w:val="21"/>
          <w:vertAlign w:val="baseline"/>
        </w:rPr>
        <w:t xml:space="preserve">5.2 </w:t>
      </w:r>
      <w:r>
        <w:rPr>
          <w:rFonts w:ascii="Times New Roman"/>
        </w:rPr>
        <w:t>园地规划</w:t>
      </w:r>
      <w:r>
        <w:tab/>
      </w:r>
      <w:r>
        <w:fldChar w:fldCharType="begin"/>
      </w:r>
      <w:r>
        <w:instrText xml:space="preserve"> PAGEREF _Toc24007 \h </w:instrText>
      </w:r>
      <w:r>
        <w:fldChar w:fldCharType="separate"/>
      </w:r>
      <w:r>
        <w:t>5</w:t>
      </w:r>
      <w:r>
        <w:fldChar w:fldCharType="end"/>
      </w:r>
      <w:r>
        <w:rPr>
          <w:rFonts w:ascii="Times New Roman"/>
        </w:rPr>
        <w:fldChar w:fldCharType="end"/>
      </w:r>
    </w:p>
    <w:p>
      <w:pPr>
        <w:pStyle w:val="20"/>
        <w:tabs>
          <w:tab w:val="right" w:leader="dot" w:pos="9354"/>
          <w:tab w:val="clear" w:pos="9242"/>
        </w:tabs>
      </w:pPr>
      <w:r>
        <w:rPr>
          <w:rFonts w:ascii="Times New Roman"/>
        </w:rPr>
        <w:fldChar w:fldCharType="begin"/>
      </w:r>
      <w:r>
        <w:rPr>
          <w:rFonts w:ascii="Times New Roman"/>
        </w:rPr>
        <w:instrText xml:space="preserve"> HYPERLINK \l _Toc19948 </w:instrText>
      </w:r>
      <w:r>
        <w:rPr>
          <w:rFonts w:ascii="Times New Roman"/>
        </w:rPr>
        <w:fldChar w:fldCharType="separate"/>
      </w:r>
      <w:r>
        <w:rPr>
          <w:rFonts w:hint="eastAsia" w:ascii="黑体" w:hAnsi="Times New Roman" w:eastAsia="黑体"/>
          <w:i w:val="0"/>
        </w:rPr>
        <w:t xml:space="preserve">5.2.1 </w:t>
      </w:r>
      <w:r>
        <w:rPr>
          <w:rFonts w:ascii="Times New Roman"/>
        </w:rPr>
        <w:t>小区</w:t>
      </w:r>
      <w:r>
        <w:tab/>
      </w:r>
      <w:r>
        <w:fldChar w:fldCharType="begin"/>
      </w:r>
      <w:r>
        <w:instrText xml:space="preserve"> PAGEREF _Toc19948 \h </w:instrText>
      </w:r>
      <w:r>
        <w:fldChar w:fldCharType="separate"/>
      </w:r>
      <w:r>
        <w:t>5</w:t>
      </w:r>
      <w:r>
        <w:fldChar w:fldCharType="end"/>
      </w:r>
      <w:r>
        <w:rPr>
          <w:rFonts w:ascii="Times New Roman"/>
        </w:rPr>
        <w:fldChar w:fldCharType="end"/>
      </w:r>
    </w:p>
    <w:p>
      <w:pPr>
        <w:pStyle w:val="20"/>
        <w:tabs>
          <w:tab w:val="right" w:leader="dot" w:pos="9354"/>
          <w:tab w:val="clear" w:pos="9242"/>
        </w:tabs>
      </w:pPr>
      <w:r>
        <w:rPr>
          <w:rFonts w:ascii="Times New Roman"/>
        </w:rPr>
        <w:fldChar w:fldCharType="begin"/>
      </w:r>
      <w:r>
        <w:rPr>
          <w:rFonts w:ascii="Times New Roman"/>
        </w:rPr>
        <w:instrText xml:space="preserve"> HYPERLINK \l _Toc17170 </w:instrText>
      </w:r>
      <w:r>
        <w:rPr>
          <w:rFonts w:ascii="Times New Roman"/>
        </w:rPr>
        <w:fldChar w:fldCharType="separate"/>
      </w:r>
      <w:r>
        <w:rPr>
          <w:rFonts w:hint="eastAsia" w:ascii="黑体" w:hAnsi="Times New Roman" w:eastAsia="黑体"/>
          <w:i w:val="0"/>
        </w:rPr>
        <w:t xml:space="preserve">5.2.2 </w:t>
      </w:r>
      <w:r>
        <w:rPr>
          <w:rFonts w:ascii="Times New Roman"/>
        </w:rPr>
        <w:t>防护林</w:t>
      </w:r>
      <w:r>
        <w:tab/>
      </w:r>
      <w:r>
        <w:fldChar w:fldCharType="begin"/>
      </w:r>
      <w:r>
        <w:instrText xml:space="preserve"> PAGEREF _Toc17170 \h </w:instrText>
      </w:r>
      <w:r>
        <w:fldChar w:fldCharType="separate"/>
      </w:r>
      <w:r>
        <w:t>5</w:t>
      </w:r>
      <w:r>
        <w:fldChar w:fldCharType="end"/>
      </w:r>
      <w:r>
        <w:rPr>
          <w:rFonts w:ascii="Times New Roman"/>
        </w:rPr>
        <w:fldChar w:fldCharType="end"/>
      </w:r>
    </w:p>
    <w:p>
      <w:pPr>
        <w:pStyle w:val="20"/>
        <w:tabs>
          <w:tab w:val="right" w:leader="dot" w:pos="9354"/>
          <w:tab w:val="clear" w:pos="9242"/>
        </w:tabs>
      </w:pPr>
      <w:r>
        <w:rPr>
          <w:rFonts w:ascii="Times New Roman"/>
        </w:rPr>
        <w:fldChar w:fldCharType="begin"/>
      </w:r>
      <w:r>
        <w:rPr>
          <w:rFonts w:ascii="Times New Roman"/>
        </w:rPr>
        <w:instrText xml:space="preserve"> HYPERLINK \l _Toc11983 </w:instrText>
      </w:r>
      <w:r>
        <w:rPr>
          <w:rFonts w:ascii="Times New Roman"/>
        </w:rPr>
        <w:fldChar w:fldCharType="separate"/>
      </w:r>
      <w:r>
        <w:rPr>
          <w:rFonts w:hint="eastAsia" w:ascii="黑体" w:hAnsi="Times New Roman" w:eastAsia="黑体"/>
          <w:i w:val="0"/>
        </w:rPr>
        <w:t xml:space="preserve">5.2.3 </w:t>
      </w:r>
      <w:r>
        <w:rPr>
          <w:rFonts w:ascii="Times New Roman"/>
        </w:rPr>
        <w:t>道路</w:t>
      </w:r>
      <w:r>
        <w:tab/>
      </w:r>
      <w:r>
        <w:fldChar w:fldCharType="begin"/>
      </w:r>
      <w:r>
        <w:instrText xml:space="preserve"> PAGEREF _Toc11983 \h </w:instrText>
      </w:r>
      <w:r>
        <w:fldChar w:fldCharType="separate"/>
      </w:r>
      <w:r>
        <w:t>5</w:t>
      </w:r>
      <w:r>
        <w:fldChar w:fldCharType="end"/>
      </w:r>
      <w:r>
        <w:rPr>
          <w:rFonts w:ascii="Times New Roman"/>
        </w:rPr>
        <w:fldChar w:fldCharType="end"/>
      </w:r>
    </w:p>
    <w:p>
      <w:pPr>
        <w:pStyle w:val="20"/>
        <w:tabs>
          <w:tab w:val="right" w:leader="dot" w:pos="9354"/>
          <w:tab w:val="clear" w:pos="9242"/>
        </w:tabs>
      </w:pPr>
      <w:r>
        <w:rPr>
          <w:rFonts w:ascii="Times New Roman"/>
        </w:rPr>
        <w:fldChar w:fldCharType="begin"/>
      </w:r>
      <w:r>
        <w:rPr>
          <w:rFonts w:ascii="Times New Roman"/>
        </w:rPr>
        <w:instrText xml:space="preserve"> HYPERLINK \l _Toc30272 </w:instrText>
      </w:r>
      <w:r>
        <w:rPr>
          <w:rFonts w:ascii="Times New Roman"/>
        </w:rPr>
        <w:fldChar w:fldCharType="separate"/>
      </w:r>
      <w:r>
        <w:rPr>
          <w:rFonts w:hint="eastAsia" w:ascii="黑体" w:hAnsi="Times New Roman" w:eastAsia="黑体"/>
          <w:i w:val="0"/>
        </w:rPr>
        <w:t xml:space="preserve">5.2.4 </w:t>
      </w:r>
      <w:r>
        <w:rPr>
          <w:rFonts w:ascii="Times New Roman"/>
        </w:rPr>
        <w:t>排灌</w:t>
      </w:r>
      <w:r>
        <w:tab/>
      </w:r>
      <w:r>
        <w:fldChar w:fldCharType="begin"/>
      </w:r>
      <w:r>
        <w:instrText xml:space="preserve"> PAGEREF _Toc30272 \h </w:instrText>
      </w:r>
      <w:r>
        <w:fldChar w:fldCharType="separate"/>
      </w:r>
      <w:r>
        <w:t>6</w:t>
      </w:r>
      <w:r>
        <w:fldChar w:fldCharType="end"/>
      </w:r>
      <w:r>
        <w:rPr>
          <w:rFonts w:ascii="Times New Roman"/>
        </w:rPr>
        <w:fldChar w:fldCharType="end"/>
      </w:r>
    </w:p>
    <w:p>
      <w:pPr>
        <w:pStyle w:val="19"/>
        <w:tabs>
          <w:tab w:val="right" w:leader="dot" w:pos="9354"/>
          <w:tab w:val="clear" w:pos="9242"/>
        </w:tabs>
      </w:pPr>
      <w:r>
        <w:rPr>
          <w:rFonts w:ascii="Times New Roman"/>
        </w:rPr>
        <w:fldChar w:fldCharType="begin"/>
      </w:r>
      <w:r>
        <w:rPr>
          <w:rFonts w:ascii="Times New Roman"/>
        </w:rPr>
        <w:instrText xml:space="preserve"> HYPERLINK \l _Toc31588 </w:instrText>
      </w:r>
      <w:r>
        <w:rPr>
          <w:rFonts w:ascii="Times New Roman"/>
        </w:rPr>
        <w:fldChar w:fldCharType="separate"/>
      </w:r>
      <w:r>
        <w:rPr>
          <w:rFonts w:hint="eastAsia" w:ascii="黑体" w:hAnsi="Times New Roman" w:eastAsia="黑体"/>
          <w:i w:val="0"/>
          <w:szCs w:val="21"/>
        </w:rPr>
        <w:t xml:space="preserve">6 </w:t>
      </w:r>
      <w:r>
        <w:rPr>
          <w:rFonts w:ascii="Times New Roman"/>
        </w:rPr>
        <w:t>栽植</w:t>
      </w:r>
      <w:r>
        <w:tab/>
      </w:r>
      <w:r>
        <w:fldChar w:fldCharType="begin"/>
      </w:r>
      <w:r>
        <w:instrText xml:space="preserve"> PAGEREF _Toc31588 \h </w:instrText>
      </w:r>
      <w:r>
        <w:fldChar w:fldCharType="separate"/>
      </w:r>
      <w:r>
        <w:t>6</w:t>
      </w:r>
      <w:r>
        <w:fldChar w:fldCharType="end"/>
      </w:r>
      <w:r>
        <w:rPr>
          <w:rFonts w:ascii="Times New Roman"/>
        </w:rPr>
        <w:fldChar w:fldCharType="end"/>
      </w:r>
    </w:p>
    <w:p>
      <w:pPr>
        <w:pStyle w:val="13"/>
        <w:tabs>
          <w:tab w:val="right" w:leader="dot" w:pos="9354"/>
          <w:tab w:val="clear" w:pos="9242"/>
        </w:tabs>
      </w:pPr>
      <w:r>
        <w:rPr>
          <w:rFonts w:ascii="Times New Roman"/>
        </w:rPr>
        <w:fldChar w:fldCharType="begin"/>
      </w:r>
      <w:r>
        <w:rPr>
          <w:rFonts w:ascii="Times New Roman"/>
        </w:rPr>
        <w:instrText xml:space="preserve"> HYPERLINK \l _Toc10049 </w:instrText>
      </w:r>
      <w:r>
        <w:rPr>
          <w:rFonts w:ascii="Times New Roman"/>
        </w:rPr>
        <w:fldChar w:fldCharType="separate"/>
      </w:r>
      <w:r>
        <w:rPr>
          <w:rFonts w:hint="eastAsia" w:ascii="黑体" w:hAnsi="Times New Roman" w:eastAsia="黑体" w:cs="Times New Roman"/>
          <w:bCs w:val="0"/>
          <w:i w:val="0"/>
          <w:iCs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szCs w:val="21"/>
          <w:vertAlign w:val="baseline"/>
        </w:rPr>
        <w:t xml:space="preserve">6.1 </w:t>
      </w:r>
      <w:r>
        <w:rPr>
          <w:rFonts w:ascii="Times New Roman"/>
        </w:rPr>
        <w:t>品种选择</w:t>
      </w:r>
      <w:r>
        <w:tab/>
      </w:r>
      <w:r>
        <w:fldChar w:fldCharType="begin"/>
      </w:r>
      <w:r>
        <w:instrText xml:space="preserve"> PAGEREF _Toc10049 \h </w:instrText>
      </w:r>
      <w:r>
        <w:fldChar w:fldCharType="separate"/>
      </w:r>
      <w:r>
        <w:t>6</w:t>
      </w:r>
      <w:r>
        <w:fldChar w:fldCharType="end"/>
      </w:r>
      <w:r>
        <w:rPr>
          <w:rFonts w:ascii="Times New Roman"/>
        </w:rPr>
        <w:fldChar w:fldCharType="end"/>
      </w:r>
    </w:p>
    <w:p>
      <w:pPr>
        <w:pStyle w:val="13"/>
        <w:tabs>
          <w:tab w:val="right" w:leader="dot" w:pos="9354"/>
          <w:tab w:val="clear" w:pos="9242"/>
        </w:tabs>
      </w:pPr>
      <w:r>
        <w:rPr>
          <w:rFonts w:ascii="Times New Roman"/>
        </w:rPr>
        <w:fldChar w:fldCharType="begin"/>
      </w:r>
      <w:r>
        <w:rPr>
          <w:rFonts w:ascii="Times New Roman"/>
        </w:rPr>
        <w:instrText xml:space="preserve"> HYPERLINK \l _Toc18622 </w:instrText>
      </w:r>
      <w:r>
        <w:rPr>
          <w:rFonts w:ascii="Times New Roman"/>
        </w:rPr>
        <w:fldChar w:fldCharType="separate"/>
      </w:r>
      <w:r>
        <w:rPr>
          <w:rFonts w:hint="eastAsia" w:ascii="黑体" w:hAnsi="Times New Roman" w:eastAsia="黑体" w:cs="Times New Roman"/>
          <w:bCs w:val="0"/>
          <w:i w:val="0"/>
          <w:iCs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szCs w:val="21"/>
          <w:vertAlign w:val="baseline"/>
        </w:rPr>
        <w:t xml:space="preserve">6.2 </w:t>
      </w:r>
      <w:r>
        <w:rPr>
          <w:rFonts w:hint="eastAsia" w:ascii="Times New Roman"/>
        </w:rPr>
        <w:t>授粉树配置</w:t>
      </w:r>
      <w:r>
        <w:tab/>
      </w:r>
      <w:r>
        <w:fldChar w:fldCharType="begin"/>
      </w:r>
      <w:r>
        <w:instrText xml:space="preserve"> PAGEREF _Toc18622 \h </w:instrText>
      </w:r>
      <w:r>
        <w:fldChar w:fldCharType="separate"/>
      </w:r>
      <w:r>
        <w:t>6</w:t>
      </w:r>
      <w:r>
        <w:fldChar w:fldCharType="end"/>
      </w:r>
      <w:r>
        <w:rPr>
          <w:rFonts w:ascii="Times New Roman"/>
        </w:rPr>
        <w:fldChar w:fldCharType="end"/>
      </w:r>
    </w:p>
    <w:p>
      <w:pPr>
        <w:pStyle w:val="13"/>
        <w:tabs>
          <w:tab w:val="right" w:leader="dot" w:pos="9354"/>
          <w:tab w:val="clear" w:pos="9242"/>
        </w:tabs>
      </w:pPr>
      <w:r>
        <w:rPr>
          <w:rFonts w:ascii="Times New Roman"/>
        </w:rPr>
        <w:fldChar w:fldCharType="begin"/>
      </w:r>
      <w:r>
        <w:rPr>
          <w:rFonts w:ascii="Times New Roman"/>
        </w:rPr>
        <w:instrText xml:space="preserve"> HYPERLINK \l _Toc12344 </w:instrText>
      </w:r>
      <w:r>
        <w:rPr>
          <w:rFonts w:ascii="Times New Roman"/>
        </w:rPr>
        <w:fldChar w:fldCharType="separate"/>
      </w:r>
      <w:r>
        <w:rPr>
          <w:rFonts w:hint="eastAsia" w:ascii="黑体" w:hAnsi="Times New Roman" w:eastAsia="黑体" w:cs="Times New Roman"/>
          <w:bCs w:val="0"/>
          <w:i w:val="0"/>
          <w:iCs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szCs w:val="21"/>
          <w:vertAlign w:val="baseline"/>
        </w:rPr>
        <w:t xml:space="preserve">6.3 </w:t>
      </w:r>
      <w:r>
        <w:rPr>
          <w:rFonts w:ascii="Times New Roman"/>
        </w:rPr>
        <w:t>栽植密度</w:t>
      </w:r>
      <w:r>
        <w:tab/>
      </w:r>
      <w:r>
        <w:fldChar w:fldCharType="begin"/>
      </w:r>
      <w:r>
        <w:instrText xml:space="preserve"> PAGEREF _Toc12344 \h </w:instrText>
      </w:r>
      <w:r>
        <w:fldChar w:fldCharType="separate"/>
      </w:r>
      <w:r>
        <w:t>6</w:t>
      </w:r>
      <w:r>
        <w:fldChar w:fldCharType="end"/>
      </w:r>
      <w:r>
        <w:rPr>
          <w:rFonts w:ascii="Times New Roman"/>
        </w:rPr>
        <w:fldChar w:fldCharType="end"/>
      </w:r>
    </w:p>
    <w:p>
      <w:pPr>
        <w:pStyle w:val="13"/>
        <w:tabs>
          <w:tab w:val="right" w:leader="dot" w:pos="9354"/>
          <w:tab w:val="clear" w:pos="9242"/>
        </w:tabs>
      </w:pPr>
      <w:r>
        <w:rPr>
          <w:rFonts w:ascii="Times New Roman"/>
        </w:rPr>
        <w:fldChar w:fldCharType="begin"/>
      </w:r>
      <w:r>
        <w:rPr>
          <w:rFonts w:ascii="Times New Roman"/>
        </w:rPr>
        <w:instrText xml:space="preserve"> HYPERLINK \l _Toc9321 </w:instrText>
      </w:r>
      <w:r>
        <w:rPr>
          <w:rFonts w:ascii="Times New Roman"/>
        </w:rPr>
        <w:fldChar w:fldCharType="separate"/>
      </w:r>
      <w:r>
        <w:rPr>
          <w:rFonts w:hint="eastAsia" w:ascii="黑体" w:hAnsi="Times New Roman" w:eastAsia="黑体" w:cs="Times New Roman"/>
          <w:bCs w:val="0"/>
          <w:i w:val="0"/>
          <w:iCs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szCs w:val="21"/>
          <w:vertAlign w:val="baseline"/>
        </w:rPr>
        <w:t xml:space="preserve">6.4 </w:t>
      </w:r>
      <w:r>
        <w:rPr>
          <w:rFonts w:ascii="Times New Roman"/>
        </w:rPr>
        <w:t>栽植时期</w:t>
      </w:r>
      <w:r>
        <w:tab/>
      </w:r>
      <w:r>
        <w:fldChar w:fldCharType="begin"/>
      </w:r>
      <w:r>
        <w:instrText xml:space="preserve"> PAGEREF _Toc9321 \h </w:instrText>
      </w:r>
      <w:r>
        <w:fldChar w:fldCharType="separate"/>
      </w:r>
      <w:r>
        <w:t>6</w:t>
      </w:r>
      <w:r>
        <w:fldChar w:fldCharType="end"/>
      </w:r>
      <w:r>
        <w:rPr>
          <w:rFonts w:ascii="Times New Roman"/>
        </w:rPr>
        <w:fldChar w:fldCharType="end"/>
      </w:r>
    </w:p>
    <w:p>
      <w:pPr>
        <w:pStyle w:val="13"/>
        <w:tabs>
          <w:tab w:val="right" w:leader="dot" w:pos="9354"/>
          <w:tab w:val="clear" w:pos="9242"/>
        </w:tabs>
      </w:pPr>
      <w:r>
        <w:rPr>
          <w:rFonts w:ascii="Times New Roman"/>
        </w:rPr>
        <w:fldChar w:fldCharType="begin"/>
      </w:r>
      <w:r>
        <w:rPr>
          <w:rFonts w:ascii="Times New Roman"/>
        </w:rPr>
        <w:instrText xml:space="preserve"> HYPERLINK \l _Toc23724 </w:instrText>
      </w:r>
      <w:r>
        <w:rPr>
          <w:rFonts w:ascii="Times New Roman"/>
        </w:rPr>
        <w:fldChar w:fldCharType="separate"/>
      </w:r>
      <w:r>
        <w:rPr>
          <w:rFonts w:hint="eastAsia" w:ascii="黑体" w:hAnsi="Times New Roman" w:eastAsia="黑体" w:cs="Times New Roman"/>
          <w:bCs w:val="0"/>
          <w:i w:val="0"/>
          <w:iCs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szCs w:val="21"/>
          <w:vertAlign w:val="baseline"/>
        </w:rPr>
        <w:t xml:space="preserve">6.5 </w:t>
      </w:r>
      <w:r>
        <w:rPr>
          <w:rFonts w:ascii="Times New Roman"/>
        </w:rPr>
        <w:t>栽植方法</w:t>
      </w:r>
      <w:r>
        <w:tab/>
      </w:r>
      <w:r>
        <w:fldChar w:fldCharType="begin"/>
      </w:r>
      <w:r>
        <w:instrText xml:space="preserve"> PAGEREF _Toc23724 \h </w:instrText>
      </w:r>
      <w:r>
        <w:fldChar w:fldCharType="separate"/>
      </w:r>
      <w:r>
        <w:t>6</w:t>
      </w:r>
      <w:r>
        <w:fldChar w:fldCharType="end"/>
      </w:r>
      <w:r>
        <w:rPr>
          <w:rFonts w:ascii="Times New Roman"/>
        </w:rPr>
        <w:fldChar w:fldCharType="end"/>
      </w:r>
    </w:p>
    <w:p>
      <w:pPr>
        <w:pStyle w:val="19"/>
        <w:tabs>
          <w:tab w:val="right" w:leader="dot" w:pos="9354"/>
          <w:tab w:val="clear" w:pos="9242"/>
        </w:tabs>
      </w:pPr>
      <w:r>
        <w:rPr>
          <w:rFonts w:ascii="Times New Roman"/>
        </w:rPr>
        <w:fldChar w:fldCharType="begin"/>
      </w:r>
      <w:r>
        <w:rPr>
          <w:rFonts w:ascii="Times New Roman"/>
        </w:rPr>
        <w:instrText xml:space="preserve"> HYPERLINK \l _Toc30539 </w:instrText>
      </w:r>
      <w:r>
        <w:rPr>
          <w:rFonts w:ascii="Times New Roman"/>
        </w:rPr>
        <w:fldChar w:fldCharType="separate"/>
      </w:r>
      <w:r>
        <w:rPr>
          <w:rFonts w:hint="eastAsia" w:ascii="黑体" w:hAnsi="Times New Roman" w:eastAsia="黑体"/>
          <w:i w:val="0"/>
          <w:szCs w:val="21"/>
        </w:rPr>
        <w:t xml:space="preserve">7 </w:t>
      </w:r>
      <w:r>
        <w:rPr>
          <w:rFonts w:ascii="Times New Roman"/>
        </w:rPr>
        <w:t>土壤管理</w:t>
      </w:r>
      <w:r>
        <w:tab/>
      </w:r>
      <w:r>
        <w:fldChar w:fldCharType="begin"/>
      </w:r>
      <w:r>
        <w:instrText xml:space="preserve"> PAGEREF _Toc30539 \h </w:instrText>
      </w:r>
      <w:r>
        <w:fldChar w:fldCharType="separate"/>
      </w:r>
      <w:r>
        <w:t>6</w:t>
      </w:r>
      <w:r>
        <w:fldChar w:fldCharType="end"/>
      </w:r>
      <w:r>
        <w:rPr>
          <w:rFonts w:ascii="Times New Roman"/>
        </w:rPr>
        <w:fldChar w:fldCharType="end"/>
      </w:r>
    </w:p>
    <w:p>
      <w:pPr>
        <w:pStyle w:val="13"/>
        <w:tabs>
          <w:tab w:val="right" w:leader="dot" w:pos="9354"/>
          <w:tab w:val="clear" w:pos="9242"/>
        </w:tabs>
      </w:pPr>
      <w:r>
        <w:rPr>
          <w:rFonts w:ascii="Times New Roman"/>
        </w:rPr>
        <w:fldChar w:fldCharType="begin"/>
      </w:r>
      <w:r>
        <w:rPr>
          <w:rFonts w:ascii="Times New Roman"/>
        </w:rPr>
        <w:instrText xml:space="preserve"> HYPERLINK \l _Toc5988 </w:instrText>
      </w:r>
      <w:r>
        <w:rPr>
          <w:rFonts w:ascii="Times New Roman"/>
        </w:rPr>
        <w:fldChar w:fldCharType="separate"/>
      </w:r>
      <w:r>
        <w:rPr>
          <w:rFonts w:hint="eastAsia" w:ascii="黑体" w:hAnsi="Times New Roman" w:eastAsia="黑体" w:cs="Times New Roman"/>
          <w:bCs w:val="0"/>
          <w:i w:val="0"/>
          <w:iCs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szCs w:val="21"/>
          <w:vertAlign w:val="baseline"/>
        </w:rPr>
        <w:t xml:space="preserve">7.1 </w:t>
      </w:r>
      <w:r>
        <w:rPr>
          <w:rFonts w:ascii="Times New Roman"/>
        </w:rPr>
        <w:t>排灌水</w:t>
      </w:r>
      <w:r>
        <w:tab/>
      </w:r>
      <w:r>
        <w:fldChar w:fldCharType="begin"/>
      </w:r>
      <w:r>
        <w:instrText xml:space="preserve"> PAGEREF _Toc5988 \h </w:instrText>
      </w:r>
      <w:r>
        <w:fldChar w:fldCharType="separate"/>
      </w:r>
      <w:r>
        <w:t>6</w:t>
      </w:r>
      <w:r>
        <w:fldChar w:fldCharType="end"/>
      </w:r>
      <w:r>
        <w:rPr>
          <w:rFonts w:ascii="Times New Roman"/>
        </w:rPr>
        <w:fldChar w:fldCharType="end"/>
      </w:r>
    </w:p>
    <w:p>
      <w:pPr>
        <w:pStyle w:val="13"/>
        <w:tabs>
          <w:tab w:val="right" w:leader="dot" w:pos="9354"/>
          <w:tab w:val="clear" w:pos="9242"/>
        </w:tabs>
      </w:pPr>
      <w:r>
        <w:rPr>
          <w:rFonts w:ascii="Times New Roman"/>
        </w:rPr>
        <w:fldChar w:fldCharType="begin"/>
      </w:r>
      <w:r>
        <w:rPr>
          <w:rFonts w:ascii="Times New Roman"/>
        </w:rPr>
        <w:instrText xml:space="preserve"> HYPERLINK \l _Toc30889 </w:instrText>
      </w:r>
      <w:r>
        <w:rPr>
          <w:rFonts w:ascii="Times New Roman"/>
        </w:rPr>
        <w:fldChar w:fldCharType="separate"/>
      </w:r>
      <w:r>
        <w:rPr>
          <w:rFonts w:hint="eastAsia" w:ascii="黑体" w:hAnsi="Times New Roman" w:eastAsia="黑体" w:cs="Times New Roman"/>
          <w:bCs w:val="0"/>
          <w:i w:val="0"/>
          <w:iCs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szCs w:val="21"/>
          <w:vertAlign w:val="baseline"/>
        </w:rPr>
        <w:t xml:space="preserve">7.2 </w:t>
      </w:r>
      <w:r>
        <w:rPr>
          <w:rFonts w:ascii="Times New Roman"/>
        </w:rPr>
        <w:t>间作与土壤覆盖</w:t>
      </w:r>
      <w:r>
        <w:tab/>
      </w:r>
      <w:r>
        <w:fldChar w:fldCharType="begin"/>
      </w:r>
      <w:r>
        <w:instrText xml:space="preserve"> PAGEREF _Toc30889 \h </w:instrText>
      </w:r>
      <w:r>
        <w:fldChar w:fldCharType="separate"/>
      </w:r>
      <w:r>
        <w:t>6</w:t>
      </w:r>
      <w:r>
        <w:fldChar w:fldCharType="end"/>
      </w:r>
      <w:r>
        <w:rPr>
          <w:rFonts w:ascii="Times New Roman"/>
        </w:rPr>
        <w:fldChar w:fldCharType="end"/>
      </w:r>
    </w:p>
    <w:p>
      <w:pPr>
        <w:pStyle w:val="13"/>
        <w:tabs>
          <w:tab w:val="right" w:leader="dot" w:pos="9354"/>
          <w:tab w:val="clear" w:pos="9242"/>
        </w:tabs>
      </w:pPr>
      <w:r>
        <w:rPr>
          <w:rFonts w:ascii="Times New Roman"/>
        </w:rPr>
        <w:fldChar w:fldCharType="begin"/>
      </w:r>
      <w:r>
        <w:rPr>
          <w:rFonts w:ascii="Times New Roman"/>
        </w:rPr>
        <w:instrText xml:space="preserve"> HYPERLINK \l _Toc7134 </w:instrText>
      </w:r>
      <w:r>
        <w:rPr>
          <w:rFonts w:ascii="Times New Roman"/>
        </w:rPr>
        <w:fldChar w:fldCharType="separate"/>
      </w:r>
      <w:r>
        <w:rPr>
          <w:rFonts w:hint="eastAsia" w:ascii="黑体" w:hAnsi="Times New Roman" w:eastAsia="黑体" w:cs="Times New Roman"/>
          <w:bCs w:val="0"/>
          <w:i w:val="0"/>
          <w:iCs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szCs w:val="21"/>
          <w:vertAlign w:val="baseline"/>
        </w:rPr>
        <w:t xml:space="preserve">7.3 </w:t>
      </w:r>
      <w:r>
        <w:rPr>
          <w:rFonts w:ascii="Times New Roman"/>
        </w:rPr>
        <w:t>土壤改良</w:t>
      </w:r>
      <w:r>
        <w:tab/>
      </w:r>
      <w:r>
        <w:fldChar w:fldCharType="begin"/>
      </w:r>
      <w:r>
        <w:instrText xml:space="preserve"> PAGEREF _Toc7134 \h </w:instrText>
      </w:r>
      <w:r>
        <w:fldChar w:fldCharType="separate"/>
      </w:r>
      <w:r>
        <w:t>7</w:t>
      </w:r>
      <w:r>
        <w:fldChar w:fldCharType="end"/>
      </w:r>
      <w:r>
        <w:rPr>
          <w:rFonts w:ascii="Times New Roman"/>
        </w:rPr>
        <w:fldChar w:fldCharType="end"/>
      </w:r>
    </w:p>
    <w:p>
      <w:pPr>
        <w:pStyle w:val="13"/>
        <w:tabs>
          <w:tab w:val="right" w:leader="dot" w:pos="9354"/>
          <w:tab w:val="clear" w:pos="9242"/>
        </w:tabs>
      </w:pPr>
      <w:r>
        <w:rPr>
          <w:rFonts w:ascii="Times New Roman"/>
        </w:rPr>
        <w:fldChar w:fldCharType="begin"/>
      </w:r>
      <w:r>
        <w:rPr>
          <w:rFonts w:ascii="Times New Roman"/>
        </w:rPr>
        <w:instrText xml:space="preserve"> HYPERLINK \l _Toc31271 </w:instrText>
      </w:r>
      <w:r>
        <w:rPr>
          <w:rFonts w:ascii="Times New Roman"/>
        </w:rPr>
        <w:fldChar w:fldCharType="separate"/>
      </w:r>
      <w:r>
        <w:rPr>
          <w:rFonts w:hint="eastAsia" w:ascii="黑体" w:hAnsi="Times New Roman" w:eastAsia="黑体" w:cs="Times New Roman"/>
          <w:bCs w:val="0"/>
          <w:i w:val="0"/>
          <w:iCs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szCs w:val="21"/>
          <w:vertAlign w:val="baseline"/>
        </w:rPr>
        <w:t xml:space="preserve">7.4 </w:t>
      </w:r>
      <w:r>
        <w:rPr>
          <w:rFonts w:ascii="Times New Roman"/>
        </w:rPr>
        <w:t>施肥</w:t>
      </w:r>
      <w:r>
        <w:tab/>
      </w:r>
      <w:r>
        <w:fldChar w:fldCharType="begin"/>
      </w:r>
      <w:r>
        <w:instrText xml:space="preserve"> PAGEREF _Toc31271 \h </w:instrText>
      </w:r>
      <w:r>
        <w:fldChar w:fldCharType="separate"/>
      </w:r>
      <w:r>
        <w:t>7</w:t>
      </w:r>
      <w:r>
        <w:fldChar w:fldCharType="end"/>
      </w:r>
      <w:r>
        <w:rPr>
          <w:rFonts w:ascii="Times New Roman"/>
        </w:rPr>
        <w:fldChar w:fldCharType="end"/>
      </w:r>
    </w:p>
    <w:p>
      <w:pPr>
        <w:pStyle w:val="19"/>
        <w:tabs>
          <w:tab w:val="right" w:leader="dot" w:pos="9354"/>
          <w:tab w:val="clear" w:pos="9242"/>
        </w:tabs>
      </w:pPr>
      <w:r>
        <w:rPr>
          <w:rFonts w:ascii="Times New Roman"/>
        </w:rPr>
        <w:fldChar w:fldCharType="begin"/>
      </w:r>
      <w:r>
        <w:rPr>
          <w:rFonts w:ascii="Times New Roman"/>
        </w:rPr>
        <w:instrText xml:space="preserve"> HYPERLINK \l _Toc28864 </w:instrText>
      </w:r>
      <w:r>
        <w:rPr>
          <w:rFonts w:ascii="Times New Roman"/>
        </w:rPr>
        <w:fldChar w:fldCharType="separate"/>
      </w:r>
      <w:r>
        <w:rPr>
          <w:rFonts w:hint="eastAsia" w:ascii="黑体" w:hAnsi="Times New Roman" w:eastAsia="黑体"/>
          <w:i w:val="0"/>
          <w:szCs w:val="21"/>
        </w:rPr>
        <w:t xml:space="preserve">8 </w:t>
      </w:r>
      <w:r>
        <w:rPr>
          <w:rFonts w:ascii="Times New Roman"/>
        </w:rPr>
        <w:t>整形</w:t>
      </w:r>
      <w:r>
        <w:rPr>
          <w:rFonts w:hint="eastAsia" w:ascii="Times New Roman"/>
          <w:lang w:val="en-US" w:eastAsia="zh-CN"/>
        </w:rPr>
        <w:t>和</w:t>
      </w:r>
      <w:r>
        <w:rPr>
          <w:rFonts w:ascii="Times New Roman"/>
        </w:rPr>
        <w:t>修剪</w:t>
      </w:r>
      <w:r>
        <w:tab/>
      </w:r>
      <w:r>
        <w:fldChar w:fldCharType="begin"/>
      </w:r>
      <w:r>
        <w:instrText xml:space="preserve"> PAGEREF _Toc28864 \h </w:instrText>
      </w:r>
      <w:r>
        <w:fldChar w:fldCharType="separate"/>
      </w:r>
      <w:r>
        <w:t>7</w:t>
      </w:r>
      <w:r>
        <w:fldChar w:fldCharType="end"/>
      </w:r>
      <w:r>
        <w:rPr>
          <w:rFonts w:ascii="Times New Roman"/>
        </w:rPr>
        <w:fldChar w:fldCharType="end"/>
      </w:r>
    </w:p>
    <w:p>
      <w:pPr>
        <w:pStyle w:val="13"/>
        <w:tabs>
          <w:tab w:val="right" w:leader="dot" w:pos="9354"/>
          <w:tab w:val="clear" w:pos="9242"/>
        </w:tabs>
      </w:pPr>
      <w:r>
        <w:rPr>
          <w:rFonts w:ascii="Times New Roman"/>
        </w:rPr>
        <w:fldChar w:fldCharType="begin"/>
      </w:r>
      <w:r>
        <w:rPr>
          <w:rFonts w:ascii="Times New Roman"/>
        </w:rPr>
        <w:instrText xml:space="preserve"> HYPERLINK \l _Toc23811 </w:instrText>
      </w:r>
      <w:r>
        <w:rPr>
          <w:rFonts w:ascii="Times New Roman"/>
        </w:rPr>
        <w:fldChar w:fldCharType="separate"/>
      </w:r>
      <w:r>
        <w:rPr>
          <w:rFonts w:hint="eastAsia" w:ascii="黑体" w:hAnsi="Times New Roman" w:eastAsia="黑体" w:cs="Times New Roman"/>
          <w:bCs w:val="0"/>
          <w:i w:val="0"/>
          <w:iCs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szCs w:val="21"/>
          <w:vertAlign w:val="baseline"/>
        </w:rPr>
        <w:t xml:space="preserve">8.1 </w:t>
      </w:r>
      <w:r>
        <w:rPr>
          <w:rFonts w:ascii="Times New Roman"/>
        </w:rPr>
        <w:t>幼年树整形修剪</w:t>
      </w:r>
      <w:r>
        <w:tab/>
      </w:r>
      <w:r>
        <w:fldChar w:fldCharType="begin"/>
      </w:r>
      <w:r>
        <w:instrText xml:space="preserve"> PAGEREF _Toc23811 \h </w:instrText>
      </w:r>
      <w:r>
        <w:fldChar w:fldCharType="separate"/>
      </w:r>
      <w:r>
        <w:t>7</w:t>
      </w:r>
      <w:r>
        <w:fldChar w:fldCharType="end"/>
      </w:r>
      <w:r>
        <w:rPr>
          <w:rFonts w:ascii="Times New Roman"/>
        </w:rPr>
        <w:fldChar w:fldCharType="end"/>
      </w:r>
    </w:p>
    <w:p>
      <w:pPr>
        <w:pStyle w:val="20"/>
        <w:tabs>
          <w:tab w:val="right" w:leader="dot" w:pos="9354"/>
          <w:tab w:val="clear" w:pos="9242"/>
        </w:tabs>
      </w:pPr>
      <w:r>
        <w:rPr>
          <w:rFonts w:ascii="Times New Roman"/>
        </w:rPr>
        <w:fldChar w:fldCharType="begin"/>
      </w:r>
      <w:r>
        <w:rPr>
          <w:rFonts w:ascii="Times New Roman"/>
        </w:rPr>
        <w:instrText xml:space="preserve"> HYPERLINK \l _Toc23237 </w:instrText>
      </w:r>
      <w:r>
        <w:rPr>
          <w:rFonts w:ascii="Times New Roman"/>
        </w:rPr>
        <w:fldChar w:fldCharType="separate"/>
      </w:r>
      <w:r>
        <w:rPr>
          <w:rFonts w:hint="eastAsia" w:ascii="黑体" w:hAnsi="Times New Roman" w:eastAsia="黑体"/>
          <w:i w:val="0"/>
        </w:rPr>
        <w:t xml:space="preserve">8.1.1 </w:t>
      </w:r>
      <w:r>
        <w:rPr>
          <w:rFonts w:ascii="Times New Roman"/>
        </w:rPr>
        <w:t>树形</w:t>
      </w:r>
      <w:r>
        <w:tab/>
      </w:r>
      <w:r>
        <w:fldChar w:fldCharType="begin"/>
      </w:r>
      <w:r>
        <w:instrText xml:space="preserve"> PAGEREF _Toc23237 \h </w:instrText>
      </w:r>
      <w:r>
        <w:fldChar w:fldCharType="separate"/>
      </w:r>
      <w:r>
        <w:t>7</w:t>
      </w:r>
      <w:r>
        <w:fldChar w:fldCharType="end"/>
      </w:r>
      <w:r>
        <w:rPr>
          <w:rFonts w:ascii="Times New Roman"/>
        </w:rPr>
        <w:fldChar w:fldCharType="end"/>
      </w:r>
    </w:p>
    <w:p>
      <w:pPr>
        <w:pStyle w:val="20"/>
        <w:tabs>
          <w:tab w:val="right" w:leader="dot" w:pos="9354"/>
          <w:tab w:val="clear" w:pos="9242"/>
        </w:tabs>
      </w:pPr>
      <w:r>
        <w:rPr>
          <w:rFonts w:ascii="Times New Roman"/>
        </w:rPr>
        <w:fldChar w:fldCharType="begin"/>
      </w:r>
      <w:r>
        <w:rPr>
          <w:rFonts w:ascii="Times New Roman"/>
        </w:rPr>
        <w:instrText xml:space="preserve"> HYPERLINK \l _Toc16850 </w:instrText>
      </w:r>
      <w:r>
        <w:rPr>
          <w:rFonts w:ascii="Times New Roman"/>
        </w:rPr>
        <w:fldChar w:fldCharType="separate"/>
      </w:r>
      <w:r>
        <w:rPr>
          <w:rFonts w:hint="eastAsia" w:ascii="黑体" w:hAnsi="Times New Roman" w:eastAsia="黑体"/>
          <w:i w:val="0"/>
        </w:rPr>
        <w:t xml:space="preserve">8.1.2 </w:t>
      </w:r>
      <w:r>
        <w:rPr>
          <w:rFonts w:ascii="Times New Roman"/>
        </w:rPr>
        <w:t>定干</w:t>
      </w:r>
      <w:r>
        <w:tab/>
      </w:r>
      <w:r>
        <w:fldChar w:fldCharType="begin"/>
      </w:r>
      <w:r>
        <w:instrText xml:space="preserve"> PAGEREF _Toc16850 \h </w:instrText>
      </w:r>
      <w:r>
        <w:fldChar w:fldCharType="separate"/>
      </w:r>
      <w:r>
        <w:t>7</w:t>
      </w:r>
      <w:r>
        <w:fldChar w:fldCharType="end"/>
      </w:r>
      <w:r>
        <w:rPr>
          <w:rFonts w:ascii="Times New Roman"/>
        </w:rPr>
        <w:fldChar w:fldCharType="end"/>
      </w:r>
    </w:p>
    <w:p>
      <w:pPr>
        <w:pStyle w:val="20"/>
        <w:tabs>
          <w:tab w:val="right" w:leader="dot" w:pos="9354"/>
          <w:tab w:val="clear" w:pos="9242"/>
        </w:tabs>
      </w:pPr>
      <w:r>
        <w:rPr>
          <w:rFonts w:ascii="Times New Roman"/>
        </w:rPr>
        <w:fldChar w:fldCharType="begin"/>
      </w:r>
      <w:r>
        <w:rPr>
          <w:rFonts w:ascii="Times New Roman"/>
        </w:rPr>
        <w:instrText xml:space="preserve"> HYPERLINK \l _Toc13279 </w:instrText>
      </w:r>
      <w:r>
        <w:rPr>
          <w:rFonts w:ascii="Times New Roman"/>
        </w:rPr>
        <w:fldChar w:fldCharType="separate"/>
      </w:r>
      <w:r>
        <w:rPr>
          <w:rFonts w:hint="eastAsia" w:ascii="黑体" w:hAnsi="Times New Roman" w:eastAsia="黑体"/>
          <w:i w:val="0"/>
        </w:rPr>
        <w:t xml:space="preserve">8.1.3 </w:t>
      </w:r>
      <w:r>
        <w:rPr>
          <w:rFonts w:ascii="Times New Roman"/>
        </w:rPr>
        <w:t>培养枝干</w:t>
      </w:r>
      <w:r>
        <w:tab/>
      </w:r>
      <w:r>
        <w:fldChar w:fldCharType="begin"/>
      </w:r>
      <w:r>
        <w:instrText xml:space="preserve"> PAGEREF _Toc13279 \h </w:instrText>
      </w:r>
      <w:r>
        <w:fldChar w:fldCharType="separate"/>
      </w:r>
      <w:r>
        <w:t>7</w:t>
      </w:r>
      <w:r>
        <w:fldChar w:fldCharType="end"/>
      </w:r>
      <w:r>
        <w:rPr>
          <w:rFonts w:ascii="Times New Roman"/>
        </w:rPr>
        <w:fldChar w:fldCharType="end"/>
      </w:r>
    </w:p>
    <w:p>
      <w:pPr>
        <w:pStyle w:val="20"/>
        <w:tabs>
          <w:tab w:val="right" w:leader="dot" w:pos="9354"/>
          <w:tab w:val="clear" w:pos="9242"/>
        </w:tabs>
      </w:pPr>
      <w:r>
        <w:rPr>
          <w:rFonts w:ascii="Times New Roman"/>
        </w:rPr>
        <w:fldChar w:fldCharType="begin"/>
      </w:r>
      <w:r>
        <w:rPr>
          <w:rFonts w:ascii="Times New Roman"/>
        </w:rPr>
        <w:instrText xml:space="preserve"> HYPERLINK \l _Toc20366 </w:instrText>
      </w:r>
      <w:r>
        <w:rPr>
          <w:rFonts w:ascii="Times New Roman"/>
        </w:rPr>
        <w:fldChar w:fldCharType="separate"/>
      </w:r>
      <w:r>
        <w:rPr>
          <w:rFonts w:hint="eastAsia" w:ascii="黑体" w:hAnsi="Times New Roman" w:eastAsia="黑体"/>
          <w:i w:val="0"/>
        </w:rPr>
        <w:t xml:space="preserve">8.1.4 </w:t>
      </w:r>
      <w:r>
        <w:rPr>
          <w:rFonts w:ascii="Times New Roman"/>
        </w:rPr>
        <w:t>结果枝</w:t>
      </w:r>
      <w:r>
        <w:tab/>
      </w:r>
      <w:r>
        <w:fldChar w:fldCharType="begin"/>
      </w:r>
      <w:r>
        <w:instrText xml:space="preserve"> PAGEREF _Toc20366 \h </w:instrText>
      </w:r>
      <w:r>
        <w:fldChar w:fldCharType="separate"/>
      </w:r>
      <w:r>
        <w:t>7</w:t>
      </w:r>
      <w:r>
        <w:fldChar w:fldCharType="end"/>
      </w:r>
      <w:r>
        <w:rPr>
          <w:rFonts w:ascii="Times New Roman"/>
        </w:rPr>
        <w:fldChar w:fldCharType="end"/>
      </w:r>
    </w:p>
    <w:p>
      <w:pPr>
        <w:pStyle w:val="20"/>
        <w:tabs>
          <w:tab w:val="right" w:leader="dot" w:pos="9354"/>
          <w:tab w:val="clear" w:pos="9242"/>
        </w:tabs>
      </w:pPr>
      <w:r>
        <w:rPr>
          <w:rFonts w:ascii="Times New Roman"/>
        </w:rPr>
        <w:fldChar w:fldCharType="begin"/>
      </w:r>
      <w:r>
        <w:rPr>
          <w:rFonts w:ascii="Times New Roman"/>
        </w:rPr>
        <w:instrText xml:space="preserve"> HYPERLINK \l _Toc12461 </w:instrText>
      </w:r>
      <w:r>
        <w:rPr>
          <w:rFonts w:ascii="Times New Roman"/>
        </w:rPr>
        <w:fldChar w:fldCharType="separate"/>
      </w:r>
      <w:r>
        <w:rPr>
          <w:rFonts w:hint="eastAsia" w:ascii="黑体" w:hAnsi="Times New Roman" w:eastAsia="黑体"/>
          <w:i w:val="0"/>
        </w:rPr>
        <w:t xml:space="preserve">8.1.5 </w:t>
      </w:r>
      <w:r>
        <w:rPr>
          <w:rFonts w:ascii="Times New Roman"/>
        </w:rPr>
        <w:t>修剪</w:t>
      </w:r>
      <w:r>
        <w:tab/>
      </w:r>
      <w:r>
        <w:fldChar w:fldCharType="begin"/>
      </w:r>
      <w:r>
        <w:instrText xml:space="preserve"> PAGEREF _Toc12461 \h </w:instrText>
      </w:r>
      <w:r>
        <w:fldChar w:fldCharType="separate"/>
      </w:r>
      <w:r>
        <w:t>7</w:t>
      </w:r>
      <w:r>
        <w:fldChar w:fldCharType="end"/>
      </w:r>
      <w:r>
        <w:rPr>
          <w:rFonts w:ascii="Times New Roman"/>
        </w:rPr>
        <w:fldChar w:fldCharType="end"/>
      </w:r>
    </w:p>
    <w:p>
      <w:pPr>
        <w:pStyle w:val="13"/>
        <w:tabs>
          <w:tab w:val="right" w:leader="dot" w:pos="9354"/>
          <w:tab w:val="clear" w:pos="9242"/>
        </w:tabs>
      </w:pPr>
      <w:r>
        <w:rPr>
          <w:rFonts w:ascii="Times New Roman"/>
        </w:rPr>
        <w:fldChar w:fldCharType="begin"/>
      </w:r>
      <w:r>
        <w:rPr>
          <w:rFonts w:ascii="Times New Roman"/>
        </w:rPr>
        <w:instrText xml:space="preserve"> HYPERLINK \l _Toc5050 </w:instrText>
      </w:r>
      <w:r>
        <w:rPr>
          <w:rFonts w:ascii="Times New Roman"/>
        </w:rPr>
        <w:fldChar w:fldCharType="separate"/>
      </w:r>
      <w:r>
        <w:rPr>
          <w:rFonts w:hint="eastAsia" w:ascii="黑体" w:hAnsi="Times New Roman" w:eastAsia="黑体" w:cs="Times New Roman"/>
          <w:bCs w:val="0"/>
          <w:i w:val="0"/>
          <w:iCs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szCs w:val="21"/>
          <w:vertAlign w:val="baseline"/>
        </w:rPr>
        <w:t xml:space="preserve">8.2 </w:t>
      </w:r>
      <w:r>
        <w:rPr>
          <w:rFonts w:ascii="Times New Roman"/>
        </w:rPr>
        <w:t>成年结果树整形修剪</w:t>
      </w:r>
      <w:r>
        <w:tab/>
      </w:r>
      <w:r>
        <w:fldChar w:fldCharType="begin"/>
      </w:r>
      <w:r>
        <w:instrText xml:space="preserve"> PAGEREF _Toc5050 \h </w:instrText>
      </w:r>
      <w:r>
        <w:fldChar w:fldCharType="separate"/>
      </w:r>
      <w:r>
        <w:t>7</w:t>
      </w:r>
      <w:r>
        <w:fldChar w:fldCharType="end"/>
      </w:r>
      <w:r>
        <w:rPr>
          <w:rFonts w:ascii="Times New Roman"/>
        </w:rPr>
        <w:fldChar w:fldCharType="end"/>
      </w:r>
    </w:p>
    <w:p>
      <w:pPr>
        <w:pStyle w:val="20"/>
        <w:tabs>
          <w:tab w:val="right" w:leader="dot" w:pos="9354"/>
          <w:tab w:val="clear" w:pos="9242"/>
        </w:tabs>
      </w:pPr>
      <w:r>
        <w:rPr>
          <w:rFonts w:ascii="Times New Roman"/>
        </w:rPr>
        <w:fldChar w:fldCharType="begin"/>
      </w:r>
      <w:r>
        <w:rPr>
          <w:rFonts w:ascii="Times New Roman"/>
        </w:rPr>
        <w:instrText xml:space="preserve"> HYPERLINK \l _Toc11903 </w:instrText>
      </w:r>
      <w:r>
        <w:rPr>
          <w:rFonts w:ascii="Times New Roman"/>
        </w:rPr>
        <w:fldChar w:fldCharType="separate"/>
      </w:r>
      <w:r>
        <w:rPr>
          <w:rFonts w:hint="eastAsia" w:ascii="黑体" w:hAnsi="Times New Roman" w:eastAsia="黑体"/>
          <w:i w:val="0"/>
        </w:rPr>
        <w:t xml:space="preserve">8.2.1 </w:t>
      </w:r>
      <w:r>
        <w:rPr>
          <w:rFonts w:ascii="Times New Roman"/>
        </w:rPr>
        <w:t>修剪时期</w:t>
      </w:r>
      <w:r>
        <w:tab/>
      </w:r>
      <w:r>
        <w:fldChar w:fldCharType="begin"/>
      </w:r>
      <w:r>
        <w:instrText xml:space="preserve"> PAGEREF _Toc11903 \h </w:instrText>
      </w:r>
      <w:r>
        <w:fldChar w:fldCharType="separate"/>
      </w:r>
      <w:r>
        <w:t>7</w:t>
      </w:r>
      <w:r>
        <w:fldChar w:fldCharType="end"/>
      </w:r>
      <w:r>
        <w:rPr>
          <w:rFonts w:ascii="Times New Roman"/>
        </w:rPr>
        <w:fldChar w:fldCharType="end"/>
      </w:r>
    </w:p>
    <w:p>
      <w:pPr>
        <w:pStyle w:val="20"/>
        <w:tabs>
          <w:tab w:val="right" w:leader="dot" w:pos="9354"/>
          <w:tab w:val="clear" w:pos="9242"/>
        </w:tabs>
      </w:pPr>
      <w:r>
        <w:rPr>
          <w:rFonts w:ascii="Times New Roman"/>
        </w:rPr>
        <w:fldChar w:fldCharType="begin"/>
      </w:r>
      <w:r>
        <w:rPr>
          <w:rFonts w:ascii="Times New Roman"/>
        </w:rPr>
        <w:instrText xml:space="preserve"> HYPERLINK \l _Toc19677 </w:instrText>
      </w:r>
      <w:r>
        <w:rPr>
          <w:rFonts w:ascii="Times New Roman"/>
        </w:rPr>
        <w:fldChar w:fldCharType="separate"/>
      </w:r>
      <w:r>
        <w:rPr>
          <w:rFonts w:hint="eastAsia" w:ascii="黑体" w:hAnsi="Times New Roman" w:eastAsia="黑体"/>
          <w:i w:val="0"/>
        </w:rPr>
        <w:t xml:space="preserve">8.2.2 </w:t>
      </w:r>
      <w:r>
        <w:rPr>
          <w:rFonts w:ascii="Times New Roman"/>
        </w:rPr>
        <w:t>修剪方法</w:t>
      </w:r>
      <w:r>
        <w:tab/>
      </w:r>
      <w:r>
        <w:fldChar w:fldCharType="begin"/>
      </w:r>
      <w:r>
        <w:instrText xml:space="preserve"> PAGEREF _Toc19677 \h </w:instrText>
      </w:r>
      <w:r>
        <w:fldChar w:fldCharType="separate"/>
      </w:r>
      <w:r>
        <w:t>8</w:t>
      </w:r>
      <w:r>
        <w:fldChar w:fldCharType="end"/>
      </w:r>
      <w:r>
        <w:rPr>
          <w:rFonts w:ascii="Times New Roman"/>
        </w:rPr>
        <w:fldChar w:fldCharType="end"/>
      </w:r>
    </w:p>
    <w:p>
      <w:pPr>
        <w:pStyle w:val="19"/>
        <w:tabs>
          <w:tab w:val="right" w:leader="dot" w:pos="9354"/>
          <w:tab w:val="clear" w:pos="9242"/>
        </w:tabs>
      </w:pPr>
      <w:r>
        <w:rPr>
          <w:rFonts w:ascii="Times New Roman"/>
        </w:rPr>
        <w:fldChar w:fldCharType="begin"/>
      </w:r>
      <w:r>
        <w:rPr>
          <w:rFonts w:ascii="Times New Roman"/>
        </w:rPr>
        <w:instrText xml:space="preserve"> HYPERLINK \l _Toc13936 </w:instrText>
      </w:r>
      <w:r>
        <w:rPr>
          <w:rFonts w:ascii="Times New Roman"/>
        </w:rPr>
        <w:fldChar w:fldCharType="separate"/>
      </w:r>
      <w:r>
        <w:rPr>
          <w:rFonts w:hint="eastAsia" w:ascii="黑体" w:hAnsi="Times New Roman" w:eastAsia="黑体"/>
          <w:i w:val="0"/>
          <w:szCs w:val="21"/>
        </w:rPr>
        <w:t xml:space="preserve">9 </w:t>
      </w:r>
      <w:r>
        <w:rPr>
          <w:rFonts w:ascii="Times New Roman"/>
        </w:rPr>
        <w:t>花果调控</w:t>
      </w:r>
      <w:r>
        <w:tab/>
      </w:r>
      <w:r>
        <w:fldChar w:fldCharType="begin"/>
      </w:r>
      <w:r>
        <w:instrText xml:space="preserve"> PAGEREF _Toc13936 \h </w:instrText>
      </w:r>
      <w:r>
        <w:fldChar w:fldCharType="separate"/>
      </w:r>
      <w:r>
        <w:t>8</w:t>
      </w:r>
      <w:r>
        <w:fldChar w:fldCharType="end"/>
      </w:r>
      <w:r>
        <w:rPr>
          <w:rFonts w:ascii="Times New Roman"/>
        </w:rPr>
        <w:fldChar w:fldCharType="end"/>
      </w:r>
    </w:p>
    <w:p>
      <w:pPr>
        <w:pStyle w:val="19"/>
        <w:tabs>
          <w:tab w:val="right" w:leader="dot" w:pos="9354"/>
          <w:tab w:val="clear" w:pos="9242"/>
        </w:tabs>
      </w:pPr>
      <w:r>
        <w:rPr>
          <w:rFonts w:ascii="Times New Roman"/>
        </w:rPr>
        <w:fldChar w:fldCharType="begin"/>
      </w:r>
      <w:r>
        <w:rPr>
          <w:rFonts w:ascii="Times New Roman"/>
        </w:rPr>
        <w:instrText xml:space="preserve"> HYPERLINK \l _Toc14759 </w:instrText>
      </w:r>
      <w:r>
        <w:rPr>
          <w:rFonts w:ascii="Times New Roman"/>
        </w:rPr>
        <w:fldChar w:fldCharType="separate"/>
      </w:r>
      <w:r>
        <w:rPr>
          <w:rFonts w:hint="eastAsia" w:ascii="黑体" w:hAnsi="Times New Roman" w:eastAsia="黑体"/>
          <w:i w:val="0"/>
          <w:szCs w:val="21"/>
        </w:rPr>
        <w:t xml:space="preserve">10 </w:t>
      </w:r>
      <w:r>
        <w:rPr>
          <w:rFonts w:ascii="Times New Roman"/>
        </w:rPr>
        <w:t>套袋</w:t>
      </w:r>
      <w:r>
        <w:tab/>
      </w:r>
      <w:r>
        <w:fldChar w:fldCharType="begin"/>
      </w:r>
      <w:r>
        <w:instrText xml:space="preserve"> PAGEREF _Toc14759 \h </w:instrText>
      </w:r>
      <w:r>
        <w:fldChar w:fldCharType="separate"/>
      </w:r>
      <w:r>
        <w:t>8</w:t>
      </w:r>
      <w:r>
        <w:fldChar w:fldCharType="end"/>
      </w:r>
      <w:r>
        <w:rPr>
          <w:rFonts w:ascii="Times New Roman"/>
        </w:rPr>
        <w:fldChar w:fldCharType="end"/>
      </w:r>
    </w:p>
    <w:p>
      <w:pPr>
        <w:pStyle w:val="19"/>
        <w:tabs>
          <w:tab w:val="right" w:leader="dot" w:pos="9354"/>
          <w:tab w:val="clear" w:pos="9242"/>
        </w:tabs>
      </w:pPr>
      <w:r>
        <w:rPr>
          <w:rFonts w:ascii="Times New Roman"/>
        </w:rPr>
        <w:fldChar w:fldCharType="begin"/>
      </w:r>
      <w:r>
        <w:rPr>
          <w:rFonts w:ascii="Times New Roman"/>
        </w:rPr>
        <w:instrText xml:space="preserve"> HYPERLINK \l _Toc1633 </w:instrText>
      </w:r>
      <w:r>
        <w:rPr>
          <w:rFonts w:ascii="Times New Roman"/>
        </w:rPr>
        <w:fldChar w:fldCharType="separate"/>
      </w:r>
      <w:r>
        <w:rPr>
          <w:rFonts w:hint="eastAsia" w:ascii="黑体" w:hAnsi="Times New Roman" w:eastAsia="黑体"/>
          <w:i w:val="0"/>
          <w:szCs w:val="21"/>
        </w:rPr>
        <w:t xml:space="preserve">11 </w:t>
      </w:r>
      <w:r>
        <w:rPr>
          <w:rFonts w:ascii="Times New Roman"/>
        </w:rPr>
        <w:t>撑枝护果</w:t>
      </w:r>
      <w:r>
        <w:tab/>
      </w:r>
      <w:r>
        <w:fldChar w:fldCharType="begin"/>
      </w:r>
      <w:r>
        <w:instrText xml:space="preserve"> PAGEREF _Toc1633 \h </w:instrText>
      </w:r>
      <w:r>
        <w:fldChar w:fldCharType="separate"/>
      </w:r>
      <w:r>
        <w:t>8</w:t>
      </w:r>
      <w:r>
        <w:fldChar w:fldCharType="end"/>
      </w:r>
      <w:r>
        <w:rPr>
          <w:rFonts w:ascii="Times New Roman"/>
        </w:rPr>
        <w:fldChar w:fldCharType="end"/>
      </w:r>
    </w:p>
    <w:p>
      <w:pPr>
        <w:pStyle w:val="19"/>
        <w:tabs>
          <w:tab w:val="right" w:leader="dot" w:pos="9354"/>
          <w:tab w:val="clear" w:pos="9242"/>
        </w:tabs>
      </w:pPr>
      <w:r>
        <w:rPr>
          <w:rFonts w:ascii="Times New Roman"/>
        </w:rPr>
        <w:fldChar w:fldCharType="begin"/>
      </w:r>
      <w:r>
        <w:rPr>
          <w:rFonts w:ascii="Times New Roman"/>
        </w:rPr>
        <w:instrText xml:space="preserve"> HYPERLINK \l _Toc6785 </w:instrText>
      </w:r>
      <w:r>
        <w:rPr>
          <w:rFonts w:ascii="Times New Roman"/>
        </w:rPr>
        <w:fldChar w:fldCharType="separate"/>
      </w:r>
      <w:r>
        <w:rPr>
          <w:rFonts w:hint="eastAsia" w:ascii="黑体" w:hAnsi="Times New Roman" w:eastAsia="黑体"/>
          <w:i w:val="0"/>
          <w:szCs w:val="21"/>
        </w:rPr>
        <w:t xml:space="preserve">12 </w:t>
      </w:r>
      <w:r>
        <w:rPr>
          <w:rFonts w:ascii="Times New Roman"/>
        </w:rPr>
        <w:t>自然灾害的预防和处理</w:t>
      </w:r>
      <w:r>
        <w:tab/>
      </w:r>
      <w:r>
        <w:fldChar w:fldCharType="begin"/>
      </w:r>
      <w:r>
        <w:instrText xml:space="preserve"> PAGEREF _Toc6785 \h </w:instrText>
      </w:r>
      <w:r>
        <w:fldChar w:fldCharType="separate"/>
      </w:r>
      <w:r>
        <w:t>8</w:t>
      </w:r>
      <w:r>
        <w:fldChar w:fldCharType="end"/>
      </w:r>
      <w:r>
        <w:rPr>
          <w:rFonts w:ascii="Times New Roman"/>
        </w:rPr>
        <w:fldChar w:fldCharType="end"/>
      </w:r>
    </w:p>
    <w:p>
      <w:pPr>
        <w:pStyle w:val="19"/>
        <w:tabs>
          <w:tab w:val="right" w:leader="dot" w:pos="9354"/>
          <w:tab w:val="clear" w:pos="9242"/>
        </w:tabs>
      </w:pPr>
      <w:r>
        <w:rPr>
          <w:rFonts w:ascii="Times New Roman"/>
        </w:rPr>
        <w:fldChar w:fldCharType="begin"/>
      </w:r>
      <w:r>
        <w:rPr>
          <w:rFonts w:ascii="Times New Roman"/>
        </w:rPr>
        <w:instrText xml:space="preserve"> HYPERLINK \l _Toc14054 </w:instrText>
      </w:r>
      <w:r>
        <w:rPr>
          <w:rFonts w:ascii="Times New Roman"/>
        </w:rPr>
        <w:fldChar w:fldCharType="separate"/>
      </w:r>
      <w:r>
        <w:rPr>
          <w:rFonts w:hint="eastAsia" w:ascii="黑体" w:hAnsi="Times New Roman" w:eastAsia="黑体"/>
          <w:i w:val="0"/>
          <w:szCs w:val="21"/>
        </w:rPr>
        <w:t xml:space="preserve">13 </w:t>
      </w:r>
      <w:r>
        <w:rPr>
          <w:rFonts w:ascii="Times New Roman"/>
        </w:rPr>
        <w:t>病虫害防治</w:t>
      </w:r>
      <w:r>
        <w:tab/>
      </w:r>
      <w:r>
        <w:fldChar w:fldCharType="begin"/>
      </w:r>
      <w:r>
        <w:instrText xml:space="preserve"> PAGEREF _Toc14054 \h </w:instrText>
      </w:r>
      <w:r>
        <w:fldChar w:fldCharType="separate"/>
      </w:r>
      <w:r>
        <w:t>8</w:t>
      </w:r>
      <w:r>
        <w:fldChar w:fldCharType="end"/>
      </w:r>
      <w:r>
        <w:rPr>
          <w:rFonts w:ascii="Times New Roman"/>
        </w:rPr>
        <w:fldChar w:fldCharType="end"/>
      </w:r>
    </w:p>
    <w:p>
      <w:pPr>
        <w:pStyle w:val="13"/>
        <w:tabs>
          <w:tab w:val="right" w:leader="dot" w:pos="9354"/>
          <w:tab w:val="clear" w:pos="9242"/>
        </w:tabs>
      </w:pPr>
      <w:r>
        <w:rPr>
          <w:rFonts w:ascii="Times New Roman"/>
        </w:rPr>
        <w:fldChar w:fldCharType="begin"/>
      </w:r>
      <w:r>
        <w:rPr>
          <w:rFonts w:ascii="Times New Roman"/>
        </w:rPr>
        <w:instrText xml:space="preserve"> HYPERLINK \l _Toc16470 </w:instrText>
      </w:r>
      <w:r>
        <w:rPr>
          <w:rFonts w:ascii="Times New Roman"/>
        </w:rPr>
        <w:fldChar w:fldCharType="separate"/>
      </w:r>
      <w:r>
        <w:rPr>
          <w:rFonts w:hint="eastAsia" w:ascii="黑体" w:hAnsi="Times New Roman" w:eastAsia="黑体" w:cs="Times New Roman"/>
          <w:bCs w:val="0"/>
          <w:i w:val="0"/>
          <w:iCs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szCs w:val="21"/>
          <w:vertAlign w:val="baseline"/>
        </w:rPr>
        <w:t xml:space="preserve">13.1 </w:t>
      </w:r>
      <w:r>
        <w:rPr>
          <w:rFonts w:ascii="Times New Roman"/>
        </w:rPr>
        <w:t>主要防治对象</w:t>
      </w:r>
      <w:r>
        <w:tab/>
      </w:r>
      <w:r>
        <w:fldChar w:fldCharType="begin"/>
      </w:r>
      <w:r>
        <w:instrText xml:space="preserve"> PAGEREF _Toc16470 \h </w:instrText>
      </w:r>
      <w:r>
        <w:fldChar w:fldCharType="separate"/>
      </w:r>
      <w:r>
        <w:t>8</w:t>
      </w:r>
      <w:r>
        <w:fldChar w:fldCharType="end"/>
      </w:r>
      <w:r>
        <w:rPr>
          <w:rFonts w:ascii="Times New Roman"/>
        </w:rPr>
        <w:fldChar w:fldCharType="end"/>
      </w:r>
    </w:p>
    <w:p>
      <w:pPr>
        <w:pStyle w:val="20"/>
        <w:tabs>
          <w:tab w:val="right" w:leader="dot" w:pos="9354"/>
          <w:tab w:val="clear" w:pos="9242"/>
        </w:tabs>
      </w:pPr>
      <w:r>
        <w:rPr>
          <w:rFonts w:ascii="Times New Roman"/>
        </w:rPr>
        <w:fldChar w:fldCharType="begin"/>
      </w:r>
      <w:r>
        <w:rPr>
          <w:rFonts w:ascii="Times New Roman"/>
        </w:rPr>
        <w:instrText xml:space="preserve"> HYPERLINK \l _Toc3416 </w:instrText>
      </w:r>
      <w:r>
        <w:rPr>
          <w:rFonts w:ascii="Times New Roman"/>
        </w:rPr>
        <w:fldChar w:fldCharType="separate"/>
      </w:r>
      <w:r>
        <w:rPr>
          <w:rFonts w:hint="eastAsia" w:ascii="黑体" w:hAnsi="Times New Roman" w:eastAsia="黑体"/>
          <w:i w:val="0"/>
        </w:rPr>
        <w:t xml:space="preserve">13.1.1 </w:t>
      </w:r>
      <w:r>
        <w:rPr>
          <w:rFonts w:ascii="Times New Roman"/>
        </w:rPr>
        <w:t>主要病害</w:t>
      </w:r>
      <w:r>
        <w:tab/>
      </w:r>
      <w:r>
        <w:fldChar w:fldCharType="begin"/>
      </w:r>
      <w:r>
        <w:instrText xml:space="preserve"> PAGEREF _Toc3416 \h </w:instrText>
      </w:r>
      <w:r>
        <w:fldChar w:fldCharType="separate"/>
      </w:r>
      <w:r>
        <w:t>8</w:t>
      </w:r>
      <w:r>
        <w:fldChar w:fldCharType="end"/>
      </w:r>
      <w:r>
        <w:rPr>
          <w:rFonts w:ascii="Times New Roman"/>
        </w:rPr>
        <w:fldChar w:fldCharType="end"/>
      </w:r>
    </w:p>
    <w:p>
      <w:pPr>
        <w:pStyle w:val="20"/>
        <w:tabs>
          <w:tab w:val="right" w:leader="dot" w:pos="9354"/>
          <w:tab w:val="clear" w:pos="9242"/>
        </w:tabs>
      </w:pPr>
      <w:r>
        <w:rPr>
          <w:rFonts w:ascii="Times New Roman"/>
        </w:rPr>
        <w:fldChar w:fldCharType="begin"/>
      </w:r>
      <w:r>
        <w:rPr>
          <w:rFonts w:ascii="Times New Roman"/>
        </w:rPr>
        <w:instrText xml:space="preserve"> HYPERLINK \l _Toc6864 </w:instrText>
      </w:r>
      <w:r>
        <w:rPr>
          <w:rFonts w:ascii="Times New Roman"/>
        </w:rPr>
        <w:fldChar w:fldCharType="separate"/>
      </w:r>
      <w:r>
        <w:rPr>
          <w:rFonts w:hint="eastAsia" w:ascii="黑体" w:hAnsi="Times New Roman" w:eastAsia="黑体"/>
          <w:i w:val="0"/>
        </w:rPr>
        <w:t xml:space="preserve">13.1.2 </w:t>
      </w:r>
      <w:r>
        <w:rPr>
          <w:rFonts w:ascii="Times New Roman"/>
        </w:rPr>
        <w:t>主要虫害</w:t>
      </w:r>
      <w:r>
        <w:tab/>
      </w:r>
      <w:r>
        <w:fldChar w:fldCharType="begin"/>
      </w:r>
      <w:r>
        <w:instrText xml:space="preserve"> PAGEREF _Toc6864 \h </w:instrText>
      </w:r>
      <w:r>
        <w:fldChar w:fldCharType="separate"/>
      </w:r>
      <w:r>
        <w:t>8</w:t>
      </w:r>
      <w:r>
        <w:fldChar w:fldCharType="end"/>
      </w:r>
      <w:r>
        <w:rPr>
          <w:rFonts w:ascii="Times New Roman"/>
        </w:rPr>
        <w:fldChar w:fldCharType="end"/>
      </w:r>
    </w:p>
    <w:p>
      <w:pPr>
        <w:pStyle w:val="13"/>
        <w:tabs>
          <w:tab w:val="right" w:leader="dot" w:pos="9354"/>
          <w:tab w:val="clear" w:pos="9242"/>
        </w:tabs>
      </w:pPr>
      <w:r>
        <w:rPr>
          <w:rFonts w:ascii="Times New Roman"/>
        </w:rPr>
        <w:fldChar w:fldCharType="begin"/>
      </w:r>
      <w:r>
        <w:rPr>
          <w:rFonts w:ascii="Times New Roman"/>
        </w:rPr>
        <w:instrText xml:space="preserve"> HYPERLINK \l _Toc17315 </w:instrText>
      </w:r>
      <w:r>
        <w:rPr>
          <w:rFonts w:ascii="Times New Roman"/>
        </w:rPr>
        <w:fldChar w:fldCharType="separate"/>
      </w:r>
      <w:r>
        <w:rPr>
          <w:rFonts w:hint="eastAsia" w:ascii="黑体" w:hAnsi="Times New Roman" w:eastAsia="黑体" w:cs="Times New Roman"/>
          <w:bCs w:val="0"/>
          <w:i w:val="0"/>
          <w:iCs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szCs w:val="21"/>
          <w:vertAlign w:val="baseline"/>
        </w:rPr>
        <w:t xml:space="preserve">13.2 </w:t>
      </w:r>
      <w:r>
        <w:rPr>
          <w:rFonts w:ascii="Times New Roman"/>
        </w:rPr>
        <w:t>防治原则</w:t>
      </w:r>
      <w:r>
        <w:tab/>
      </w:r>
      <w:r>
        <w:fldChar w:fldCharType="begin"/>
      </w:r>
      <w:r>
        <w:instrText xml:space="preserve"> PAGEREF _Toc17315 \h </w:instrText>
      </w:r>
      <w:r>
        <w:fldChar w:fldCharType="separate"/>
      </w:r>
      <w:r>
        <w:t>8</w:t>
      </w:r>
      <w:r>
        <w:fldChar w:fldCharType="end"/>
      </w:r>
      <w:r>
        <w:rPr>
          <w:rFonts w:ascii="Times New Roman"/>
        </w:rPr>
        <w:fldChar w:fldCharType="end"/>
      </w:r>
    </w:p>
    <w:p>
      <w:pPr>
        <w:pStyle w:val="13"/>
        <w:tabs>
          <w:tab w:val="right" w:leader="dot" w:pos="9354"/>
          <w:tab w:val="clear" w:pos="9242"/>
        </w:tabs>
      </w:pPr>
      <w:r>
        <w:rPr>
          <w:rFonts w:ascii="Times New Roman"/>
        </w:rPr>
        <w:fldChar w:fldCharType="begin"/>
      </w:r>
      <w:r>
        <w:rPr>
          <w:rFonts w:ascii="Times New Roman"/>
        </w:rPr>
        <w:instrText xml:space="preserve"> HYPERLINK \l _Toc2404 </w:instrText>
      </w:r>
      <w:r>
        <w:rPr>
          <w:rFonts w:ascii="Times New Roman"/>
        </w:rPr>
        <w:fldChar w:fldCharType="separate"/>
      </w:r>
      <w:r>
        <w:rPr>
          <w:rFonts w:hint="eastAsia" w:ascii="黑体" w:hAnsi="Times New Roman" w:eastAsia="黑体" w:cs="Times New Roman"/>
          <w:bCs w:val="0"/>
          <w:i w:val="0"/>
          <w:iCs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szCs w:val="21"/>
          <w:vertAlign w:val="baseline"/>
        </w:rPr>
        <w:t xml:space="preserve">13.3 </w:t>
      </w:r>
      <w:r>
        <w:rPr>
          <w:rFonts w:ascii="Times New Roman"/>
        </w:rPr>
        <w:t>农业防治</w:t>
      </w:r>
      <w:r>
        <w:tab/>
      </w:r>
      <w:r>
        <w:fldChar w:fldCharType="begin"/>
      </w:r>
      <w:r>
        <w:instrText xml:space="preserve"> PAGEREF _Toc2404 \h </w:instrText>
      </w:r>
      <w:r>
        <w:fldChar w:fldCharType="separate"/>
      </w:r>
      <w:r>
        <w:t>9</w:t>
      </w:r>
      <w:r>
        <w:fldChar w:fldCharType="end"/>
      </w:r>
      <w:r>
        <w:rPr>
          <w:rFonts w:ascii="Times New Roman"/>
        </w:rPr>
        <w:fldChar w:fldCharType="end"/>
      </w:r>
    </w:p>
    <w:p>
      <w:pPr>
        <w:pStyle w:val="13"/>
        <w:tabs>
          <w:tab w:val="right" w:leader="dot" w:pos="9354"/>
          <w:tab w:val="clear" w:pos="9242"/>
        </w:tabs>
      </w:pPr>
      <w:r>
        <w:rPr>
          <w:rFonts w:ascii="Times New Roman"/>
        </w:rPr>
        <w:fldChar w:fldCharType="begin"/>
      </w:r>
      <w:r>
        <w:rPr>
          <w:rFonts w:ascii="Times New Roman"/>
        </w:rPr>
        <w:instrText xml:space="preserve"> HYPERLINK \l _Toc7071 </w:instrText>
      </w:r>
      <w:r>
        <w:rPr>
          <w:rFonts w:ascii="Times New Roman"/>
        </w:rPr>
        <w:fldChar w:fldCharType="separate"/>
      </w:r>
      <w:r>
        <w:rPr>
          <w:rFonts w:hint="eastAsia" w:ascii="黑体" w:hAnsi="Times New Roman" w:eastAsia="黑体" w:cs="Times New Roman"/>
          <w:bCs w:val="0"/>
          <w:i w:val="0"/>
          <w:iCs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szCs w:val="21"/>
          <w:vertAlign w:val="baseline"/>
        </w:rPr>
        <w:t xml:space="preserve">13.4 </w:t>
      </w:r>
      <w:r>
        <w:rPr>
          <w:rFonts w:ascii="Times New Roman"/>
        </w:rPr>
        <w:t>物理机械防治</w:t>
      </w:r>
      <w:r>
        <w:tab/>
      </w:r>
      <w:r>
        <w:fldChar w:fldCharType="begin"/>
      </w:r>
      <w:r>
        <w:instrText xml:space="preserve"> PAGEREF _Toc7071 \h </w:instrText>
      </w:r>
      <w:r>
        <w:fldChar w:fldCharType="separate"/>
      </w:r>
      <w:r>
        <w:t>9</w:t>
      </w:r>
      <w:r>
        <w:fldChar w:fldCharType="end"/>
      </w:r>
      <w:r>
        <w:rPr>
          <w:rFonts w:ascii="Times New Roman"/>
        </w:rPr>
        <w:fldChar w:fldCharType="end"/>
      </w:r>
    </w:p>
    <w:p>
      <w:pPr>
        <w:pStyle w:val="13"/>
        <w:tabs>
          <w:tab w:val="right" w:leader="dot" w:pos="9354"/>
          <w:tab w:val="clear" w:pos="9242"/>
        </w:tabs>
      </w:pPr>
      <w:r>
        <w:rPr>
          <w:rFonts w:ascii="Times New Roman"/>
        </w:rPr>
        <w:fldChar w:fldCharType="begin"/>
      </w:r>
      <w:r>
        <w:rPr>
          <w:rFonts w:ascii="Times New Roman"/>
        </w:rPr>
        <w:instrText xml:space="preserve"> HYPERLINK \l _Toc3557 </w:instrText>
      </w:r>
      <w:r>
        <w:rPr>
          <w:rFonts w:ascii="Times New Roman"/>
        </w:rPr>
        <w:fldChar w:fldCharType="separate"/>
      </w:r>
      <w:r>
        <w:rPr>
          <w:rFonts w:hint="eastAsia" w:ascii="黑体" w:hAnsi="Times New Roman" w:eastAsia="黑体" w:cs="Times New Roman"/>
          <w:bCs w:val="0"/>
          <w:i w:val="0"/>
          <w:iCs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szCs w:val="21"/>
          <w:vertAlign w:val="baseline"/>
        </w:rPr>
        <w:t xml:space="preserve">13.5 </w:t>
      </w:r>
      <w:r>
        <w:rPr>
          <w:rFonts w:ascii="Times New Roman"/>
        </w:rPr>
        <w:t>生物防治</w:t>
      </w:r>
      <w:r>
        <w:tab/>
      </w:r>
      <w:r>
        <w:fldChar w:fldCharType="begin"/>
      </w:r>
      <w:r>
        <w:instrText xml:space="preserve"> PAGEREF _Toc3557 \h </w:instrText>
      </w:r>
      <w:r>
        <w:fldChar w:fldCharType="separate"/>
      </w:r>
      <w:r>
        <w:t>9</w:t>
      </w:r>
      <w:r>
        <w:fldChar w:fldCharType="end"/>
      </w:r>
      <w:r>
        <w:rPr>
          <w:rFonts w:ascii="Times New Roman"/>
        </w:rPr>
        <w:fldChar w:fldCharType="end"/>
      </w:r>
    </w:p>
    <w:p>
      <w:pPr>
        <w:pStyle w:val="13"/>
        <w:tabs>
          <w:tab w:val="right" w:leader="dot" w:pos="9354"/>
          <w:tab w:val="clear" w:pos="9242"/>
        </w:tabs>
      </w:pPr>
      <w:r>
        <w:rPr>
          <w:rFonts w:ascii="Times New Roman"/>
        </w:rPr>
        <w:fldChar w:fldCharType="begin"/>
      </w:r>
      <w:r>
        <w:rPr>
          <w:rFonts w:ascii="Times New Roman"/>
        </w:rPr>
        <w:instrText xml:space="preserve"> HYPERLINK \l _Toc482 </w:instrText>
      </w:r>
      <w:r>
        <w:rPr>
          <w:rFonts w:ascii="Times New Roman"/>
        </w:rPr>
        <w:fldChar w:fldCharType="separate"/>
      </w:r>
      <w:r>
        <w:rPr>
          <w:rFonts w:hint="eastAsia" w:ascii="黑体" w:hAnsi="Times New Roman" w:eastAsia="黑体" w:cs="Times New Roman"/>
          <w:bCs w:val="0"/>
          <w:i w:val="0"/>
          <w:iCs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szCs w:val="21"/>
          <w:vertAlign w:val="baseline"/>
        </w:rPr>
        <w:t xml:space="preserve">13.6 </w:t>
      </w:r>
      <w:r>
        <w:rPr>
          <w:rFonts w:ascii="Times New Roman"/>
        </w:rPr>
        <w:t>化学防治</w:t>
      </w:r>
      <w:r>
        <w:tab/>
      </w:r>
      <w:r>
        <w:fldChar w:fldCharType="begin"/>
      </w:r>
      <w:r>
        <w:instrText xml:space="preserve"> PAGEREF _Toc482 \h </w:instrText>
      </w:r>
      <w:r>
        <w:fldChar w:fldCharType="separate"/>
      </w:r>
      <w:r>
        <w:t>9</w:t>
      </w:r>
      <w:r>
        <w:fldChar w:fldCharType="end"/>
      </w:r>
      <w:r>
        <w:rPr>
          <w:rFonts w:ascii="Times New Roman"/>
        </w:rPr>
        <w:fldChar w:fldCharType="end"/>
      </w:r>
    </w:p>
    <w:p>
      <w:pPr>
        <w:pStyle w:val="13"/>
        <w:tabs>
          <w:tab w:val="right" w:leader="dot" w:pos="9354"/>
          <w:tab w:val="clear" w:pos="9242"/>
        </w:tabs>
      </w:pPr>
      <w:r>
        <w:rPr>
          <w:rFonts w:ascii="Times New Roman"/>
        </w:rPr>
        <w:fldChar w:fldCharType="begin"/>
      </w:r>
      <w:r>
        <w:rPr>
          <w:rFonts w:ascii="Times New Roman"/>
        </w:rPr>
        <w:instrText xml:space="preserve"> HYPERLINK \l _Toc13423 </w:instrText>
      </w:r>
      <w:r>
        <w:rPr>
          <w:rFonts w:ascii="Times New Roman"/>
        </w:rPr>
        <w:fldChar w:fldCharType="separate"/>
      </w:r>
      <w:r>
        <w:rPr>
          <w:rFonts w:hint="eastAsia" w:ascii="黑体" w:hAnsi="Times New Roman" w:eastAsia="黑体" w:cs="Times New Roman"/>
          <w:bCs w:val="0"/>
          <w:i w:val="0"/>
          <w:iCs w:val="0"/>
          <w: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szCs w:val="21"/>
          <w:vertAlign w:val="baseline"/>
        </w:rPr>
        <w:t xml:space="preserve">13.7 </w:t>
      </w:r>
      <w:r>
        <w:rPr>
          <w:rFonts w:ascii="Times New Roman"/>
        </w:rPr>
        <w:t>杨桃主要病虫害防治方法</w:t>
      </w:r>
      <w:r>
        <w:tab/>
      </w:r>
      <w:r>
        <w:fldChar w:fldCharType="begin"/>
      </w:r>
      <w:r>
        <w:instrText xml:space="preserve"> PAGEREF _Toc13423 \h </w:instrText>
      </w:r>
      <w:r>
        <w:fldChar w:fldCharType="separate"/>
      </w:r>
      <w:r>
        <w:t>9</w:t>
      </w:r>
      <w:r>
        <w:fldChar w:fldCharType="end"/>
      </w:r>
      <w:r>
        <w:rPr>
          <w:rFonts w:ascii="Times New Roman"/>
        </w:rPr>
        <w:fldChar w:fldCharType="end"/>
      </w:r>
    </w:p>
    <w:p>
      <w:pPr>
        <w:pStyle w:val="19"/>
        <w:tabs>
          <w:tab w:val="right" w:leader="dot" w:pos="9354"/>
          <w:tab w:val="clear" w:pos="9242"/>
        </w:tabs>
      </w:pPr>
      <w:r>
        <w:rPr>
          <w:rFonts w:ascii="Times New Roman"/>
        </w:rPr>
        <w:fldChar w:fldCharType="begin"/>
      </w:r>
      <w:r>
        <w:rPr>
          <w:rFonts w:ascii="Times New Roman"/>
        </w:rPr>
        <w:instrText xml:space="preserve"> HYPERLINK \l _Toc25711 </w:instrText>
      </w:r>
      <w:r>
        <w:rPr>
          <w:rFonts w:ascii="Times New Roman"/>
        </w:rPr>
        <w:fldChar w:fldCharType="separate"/>
      </w:r>
      <w:r>
        <w:rPr>
          <w:rFonts w:hint="eastAsia" w:ascii="黑体" w:hAnsi="Times New Roman" w:eastAsia="黑体"/>
          <w:i w:val="0"/>
          <w:szCs w:val="21"/>
        </w:rPr>
        <w:t xml:space="preserve">14 </w:t>
      </w:r>
      <w:r>
        <w:rPr>
          <w:rFonts w:ascii="Times New Roman"/>
        </w:rPr>
        <w:t>采收</w:t>
      </w:r>
      <w:r>
        <w:tab/>
      </w:r>
      <w:r>
        <w:fldChar w:fldCharType="begin"/>
      </w:r>
      <w:r>
        <w:instrText xml:space="preserve"> PAGEREF _Toc25711 \h </w:instrText>
      </w:r>
      <w:r>
        <w:fldChar w:fldCharType="separate"/>
      </w:r>
      <w:r>
        <w:t>9</w:t>
      </w:r>
      <w:r>
        <w:fldChar w:fldCharType="end"/>
      </w:r>
      <w:r>
        <w:rPr>
          <w:rFonts w:ascii="Times New Roman"/>
        </w:rPr>
        <w:fldChar w:fldCharType="end"/>
      </w:r>
    </w:p>
    <w:p>
      <w:pPr>
        <w:pStyle w:val="23"/>
        <w:rPr>
          <w:rFonts w:ascii="Times New Roman"/>
        </w:rPr>
      </w:pPr>
      <w:r>
        <w:rPr>
          <w:rFonts w:ascii="Times New Roman"/>
        </w:rPr>
        <w:fldChar w:fldCharType="end"/>
      </w:r>
    </w:p>
    <w:p>
      <w:pPr>
        <w:pStyle w:val="111"/>
        <w:rPr>
          <w:rFonts w:ascii="Times New Roman"/>
        </w:rPr>
      </w:pPr>
      <w:bookmarkStart w:id="1" w:name="_Toc13307"/>
      <w:bookmarkStart w:id="2" w:name="_Toc7801"/>
      <w:bookmarkStart w:id="3" w:name="_Toc3306"/>
      <w:bookmarkStart w:id="4" w:name="_Toc28802"/>
      <w:r>
        <w:rPr>
          <w:rFonts w:ascii="Times New Roman"/>
        </w:rPr>
        <w:t>前</w:t>
      </w:r>
      <w:bookmarkStart w:id="5" w:name="BKQY"/>
      <w:r>
        <w:rPr>
          <w:rFonts w:ascii="Times New Roman"/>
        </w:rPr>
        <w:t>  言</w:t>
      </w:r>
      <w:bookmarkEnd w:id="1"/>
      <w:bookmarkEnd w:id="2"/>
      <w:bookmarkEnd w:id="3"/>
      <w:bookmarkEnd w:id="4"/>
      <w:bookmarkEnd w:id="5"/>
    </w:p>
    <w:p>
      <w:pPr>
        <w:pStyle w:val="23"/>
        <w:rPr>
          <w:rFonts w:ascii="Times New Roman"/>
        </w:rPr>
      </w:pPr>
    </w:p>
    <w:p>
      <w:pPr>
        <w:pStyle w:val="23"/>
        <w:rPr>
          <w:rFonts w:ascii="Times New Roman"/>
        </w:rPr>
      </w:pPr>
      <w:r>
        <w:rPr>
          <w:rFonts w:ascii="Times New Roman"/>
        </w:rPr>
        <w:t>本文件按照GB/T　1.1—2020《标准化工作导则　第1部分：标准化文件的结构和起草规则》　的规定起草。</w:t>
      </w:r>
    </w:p>
    <w:p>
      <w:pPr>
        <w:pStyle w:val="23"/>
        <w:rPr>
          <w:rFonts w:ascii="Times New Roman"/>
          <w:szCs w:val="22"/>
        </w:rPr>
      </w:pPr>
      <w:r>
        <w:rPr>
          <w:rFonts w:ascii="Times New Roman"/>
          <w:szCs w:val="22"/>
        </w:rPr>
        <w:t>本文件</w:t>
      </w:r>
      <w:r>
        <w:rPr>
          <w:rFonts w:hint="eastAsia" w:ascii="Times New Roman"/>
          <w:szCs w:val="22"/>
        </w:rPr>
        <w:t>由广东省种植业标准化技术委员会归口</w:t>
      </w:r>
      <w:r>
        <w:rPr>
          <w:rFonts w:ascii="Times New Roman"/>
          <w:szCs w:val="22"/>
        </w:rPr>
        <w:t xml:space="preserve">。 </w:t>
      </w:r>
    </w:p>
    <w:p>
      <w:pPr>
        <w:pStyle w:val="23"/>
        <w:rPr>
          <w:rFonts w:ascii="Times New Roman"/>
          <w:szCs w:val="22"/>
        </w:rPr>
      </w:pPr>
      <w:r>
        <w:rPr>
          <w:rFonts w:ascii="Times New Roman"/>
          <w:szCs w:val="22"/>
        </w:rPr>
        <w:t>本文件起草单位：广东省农业科学院果树研究所、</w:t>
      </w:r>
      <w:r>
        <w:rPr>
          <w:rFonts w:hint="eastAsia" w:ascii="Times New Roman"/>
          <w:szCs w:val="22"/>
        </w:rPr>
        <w:t>汕尾市农业科学院。</w:t>
      </w:r>
    </w:p>
    <w:p>
      <w:pPr>
        <w:pStyle w:val="23"/>
        <w:rPr>
          <w:rFonts w:ascii="Times New Roman"/>
          <w:szCs w:val="22"/>
        </w:rPr>
      </w:pPr>
      <w:r>
        <w:rPr>
          <w:rFonts w:ascii="Times New Roman"/>
          <w:szCs w:val="22"/>
        </w:rPr>
        <w:t>本文件主要起草人：</w:t>
      </w:r>
      <w:r>
        <w:rPr>
          <w:rFonts w:hint="eastAsia" w:ascii="Times New Roman"/>
          <w:szCs w:val="22"/>
        </w:rPr>
        <w:t>彭程、邱继水、陆育生、常晓晓、陈慧琼、柯杰</w:t>
      </w:r>
      <w:r>
        <w:rPr>
          <w:rFonts w:ascii="Times New Roman"/>
          <w:szCs w:val="22"/>
        </w:rPr>
        <w:t>。</w:t>
      </w:r>
    </w:p>
    <w:p>
      <w:pPr>
        <w:pStyle w:val="23"/>
        <w:ind w:firstLine="0" w:firstLineChars="0"/>
        <w:rPr>
          <w:rFonts w:ascii="Times New Roman"/>
        </w:rPr>
      </w:pPr>
    </w:p>
    <w:p>
      <w:pPr>
        <w:pStyle w:val="53"/>
        <w:rPr>
          <w:rFonts w:ascii="Times New Roman"/>
        </w:rPr>
      </w:pPr>
      <w:r>
        <w:rPr>
          <w:rFonts w:ascii="Times New Roman"/>
        </w:rPr>
        <w:t>杨桃</w:t>
      </w:r>
      <w:r>
        <w:rPr>
          <w:rFonts w:hint="eastAsia" w:ascii="Times New Roman"/>
        </w:rPr>
        <w:t>栽培</w:t>
      </w:r>
      <w:r>
        <w:rPr>
          <w:rFonts w:ascii="Times New Roman"/>
        </w:rPr>
        <w:t>技术规程</w:t>
      </w:r>
    </w:p>
    <w:p>
      <w:pPr>
        <w:pStyle w:val="103"/>
        <w:rPr>
          <w:rFonts w:ascii="Times New Roman"/>
        </w:rPr>
      </w:pPr>
      <w:bookmarkStart w:id="6" w:name="_Toc23047"/>
      <w:bookmarkStart w:id="7" w:name="_Toc15814"/>
      <w:bookmarkStart w:id="8" w:name="_Toc11758"/>
      <w:bookmarkStart w:id="9" w:name="_Toc24141"/>
      <w:r>
        <w:rPr>
          <w:rFonts w:ascii="Times New Roman"/>
        </w:rPr>
        <w:t>范围</w:t>
      </w:r>
      <w:bookmarkEnd w:id="6"/>
      <w:bookmarkEnd w:id="7"/>
      <w:bookmarkEnd w:id="8"/>
      <w:bookmarkEnd w:id="9"/>
    </w:p>
    <w:p>
      <w:pPr>
        <w:pStyle w:val="23"/>
        <w:rPr>
          <w:rFonts w:ascii="Times New Roman"/>
        </w:rPr>
      </w:pPr>
      <w:r>
        <w:rPr>
          <w:rFonts w:ascii="Times New Roman"/>
        </w:rPr>
        <w:t>本标准规定了杨桃建园、育苗、栽植、土壤管理、整形与修剪、花果管理、套袋、撑枝护果、自然灾害的预防和处理、病虫害防治、采收等技术要求。</w:t>
      </w:r>
    </w:p>
    <w:p>
      <w:pPr>
        <w:pStyle w:val="23"/>
        <w:rPr>
          <w:rFonts w:ascii="Times New Roman"/>
        </w:rPr>
      </w:pPr>
      <w:r>
        <w:rPr>
          <w:rFonts w:ascii="Times New Roman"/>
        </w:rPr>
        <w:t>本文件适用于</w:t>
      </w:r>
      <w:r>
        <w:rPr>
          <w:rFonts w:hint="eastAsia" w:ascii="Times New Roman"/>
        </w:rPr>
        <w:t>广东省</w:t>
      </w:r>
      <w:r>
        <w:rPr>
          <w:rFonts w:ascii="Times New Roman"/>
        </w:rPr>
        <w:t>杨桃</w:t>
      </w:r>
      <w:r>
        <w:rPr>
          <w:rFonts w:hint="eastAsia" w:ascii="Times New Roman"/>
        </w:rPr>
        <w:t>栽培生产</w:t>
      </w:r>
      <w:r>
        <w:rPr>
          <w:rFonts w:ascii="Times New Roman"/>
        </w:rPr>
        <w:t>。</w:t>
      </w:r>
    </w:p>
    <w:p>
      <w:pPr>
        <w:pStyle w:val="103"/>
        <w:rPr>
          <w:rFonts w:ascii="Times New Roman"/>
        </w:rPr>
      </w:pPr>
      <w:bookmarkStart w:id="10" w:name="_Toc22411"/>
      <w:bookmarkStart w:id="11" w:name="_Toc7449"/>
      <w:bookmarkStart w:id="12" w:name="_Toc31802"/>
      <w:bookmarkStart w:id="13" w:name="_Toc2758"/>
      <w:r>
        <w:rPr>
          <w:rFonts w:ascii="Times New Roman"/>
        </w:rPr>
        <w:t>规范性引用文件</w:t>
      </w:r>
      <w:bookmarkEnd w:id="10"/>
      <w:bookmarkEnd w:id="11"/>
      <w:bookmarkEnd w:id="12"/>
      <w:bookmarkEnd w:id="13"/>
    </w:p>
    <w:p>
      <w:pPr>
        <w:pStyle w:val="23"/>
        <w:rPr>
          <w:rFonts w:ascii="Times New Roman"/>
        </w:rPr>
      </w:pPr>
      <w:r>
        <w:rPr>
          <w:rFonts w:ascii="Times New Roman"/>
        </w:rPr>
        <w:t>下列文件中的条款通过本标准的引用而成为本标准的条款。凡是</w:t>
      </w:r>
      <w:r>
        <w:rPr>
          <w:rFonts w:hint="eastAsia" w:ascii="Times New Roman"/>
        </w:rPr>
        <w:t>标</w:t>
      </w:r>
      <w:r>
        <w:rPr>
          <w:rFonts w:ascii="Times New Roman"/>
        </w:rPr>
        <w:t>注日期的引用文件，其随后所有的修改单(不包括勘误的内容)或修订版均不适用于本标准</w:t>
      </w:r>
      <w:r>
        <w:rPr>
          <w:rFonts w:hint="eastAsia" w:ascii="Times New Roman"/>
        </w:rPr>
        <w:t>。</w:t>
      </w:r>
      <w:r>
        <w:rPr>
          <w:rFonts w:ascii="Times New Roman"/>
        </w:rPr>
        <w:t>凡是不</w:t>
      </w:r>
      <w:r>
        <w:rPr>
          <w:rFonts w:hint="eastAsia" w:ascii="Times New Roman"/>
        </w:rPr>
        <w:t>标</w:t>
      </w:r>
      <w:r>
        <w:rPr>
          <w:rFonts w:ascii="Times New Roman"/>
        </w:rPr>
        <w:t>注日期的引用文件，其最新版本适用于本标准。</w:t>
      </w:r>
    </w:p>
    <w:p>
      <w:pPr>
        <w:pStyle w:val="23"/>
        <w:rPr>
          <w:rFonts w:ascii="Times New Roman"/>
        </w:rPr>
      </w:pPr>
      <w:r>
        <w:rPr>
          <w:rFonts w:ascii="Times New Roman"/>
        </w:rPr>
        <w:t xml:space="preserve">GB 4284 农用污泥污染物控制标准 </w:t>
      </w:r>
    </w:p>
    <w:p>
      <w:pPr>
        <w:pStyle w:val="23"/>
        <w:rPr>
          <w:rFonts w:ascii="Times New Roman"/>
        </w:rPr>
      </w:pPr>
      <w:r>
        <w:rPr>
          <w:rFonts w:ascii="Times New Roman"/>
        </w:rPr>
        <w:t>GB 4285 农药安全使用标准</w:t>
      </w:r>
    </w:p>
    <w:p>
      <w:pPr>
        <w:pStyle w:val="23"/>
        <w:rPr>
          <w:rFonts w:ascii="Times New Roman"/>
          <w:color w:val="FF0000"/>
        </w:rPr>
      </w:pPr>
      <w:r>
        <w:rPr>
          <w:rFonts w:ascii="Times New Roman"/>
        </w:rPr>
        <w:t>GB 8172 城镇垃圾农用控制标准</w:t>
      </w:r>
    </w:p>
    <w:p>
      <w:pPr>
        <w:pStyle w:val="23"/>
        <w:rPr>
          <w:rFonts w:ascii="Times New Roman"/>
        </w:rPr>
      </w:pPr>
      <w:r>
        <w:rPr>
          <w:rFonts w:ascii="Times New Roman"/>
        </w:rPr>
        <w:t>GB/T 8321</w:t>
      </w:r>
      <w:r>
        <w:rPr>
          <w:rFonts w:hint="eastAsia" w:ascii="Times New Roman"/>
        </w:rPr>
        <w:t xml:space="preserve"> </w:t>
      </w:r>
      <w:r>
        <w:rPr>
          <w:rFonts w:ascii="Times New Roman"/>
        </w:rPr>
        <w:t xml:space="preserve">农药合理使用准则 </w:t>
      </w:r>
    </w:p>
    <w:p>
      <w:pPr>
        <w:pStyle w:val="23"/>
        <w:rPr>
          <w:rFonts w:ascii="Times New Roman"/>
        </w:rPr>
      </w:pPr>
      <w:r>
        <w:rPr>
          <w:rFonts w:ascii="Times New Roman"/>
        </w:rPr>
        <w:t>NY/T 227 微生物肥料</w:t>
      </w:r>
    </w:p>
    <w:p>
      <w:pPr>
        <w:pStyle w:val="23"/>
        <w:rPr>
          <w:rFonts w:ascii="Times New Roman"/>
        </w:rPr>
      </w:pPr>
      <w:r>
        <w:rPr>
          <w:rFonts w:ascii="Times New Roman"/>
        </w:rPr>
        <w:t>NY/T 452 杨桃</w:t>
      </w:r>
      <w:r>
        <w:rPr>
          <w:rFonts w:hint="eastAsia" w:ascii="Times New Roman"/>
        </w:rPr>
        <w:t xml:space="preserve"> </w:t>
      </w:r>
      <w:r>
        <w:rPr>
          <w:rFonts w:ascii="Times New Roman"/>
        </w:rPr>
        <w:t>嫁接苗</w:t>
      </w:r>
    </w:p>
    <w:p>
      <w:pPr>
        <w:pStyle w:val="23"/>
        <w:rPr>
          <w:rFonts w:ascii="Times New Roman"/>
        </w:rPr>
      </w:pPr>
      <w:r>
        <w:rPr>
          <w:rFonts w:ascii="Times New Roman"/>
        </w:rPr>
        <w:t>NY 5023 无公害食品 热带水果产地环境条件</w:t>
      </w:r>
    </w:p>
    <w:p>
      <w:pPr>
        <w:pStyle w:val="103"/>
        <w:rPr>
          <w:rFonts w:ascii="Times New Roman"/>
        </w:rPr>
      </w:pPr>
      <w:bookmarkStart w:id="14" w:name="_Toc11999"/>
      <w:bookmarkStart w:id="15" w:name="_Toc13696"/>
      <w:r>
        <w:rPr>
          <w:rFonts w:hint="eastAsia" w:ascii="Times New Roman"/>
        </w:rPr>
        <w:t>术语和定义</w:t>
      </w:r>
      <w:bookmarkEnd w:id="14"/>
      <w:bookmarkEnd w:id="15"/>
    </w:p>
    <w:p>
      <w:pPr>
        <w:pStyle w:val="23"/>
        <w:rPr>
          <w:rFonts w:hint="eastAsia" w:ascii="Times New Roman"/>
          <w:lang w:val="en-US" w:eastAsia="zh-CN"/>
        </w:rPr>
      </w:pPr>
      <w:r>
        <w:rPr>
          <w:rFonts w:hint="eastAsia" w:ascii="Times New Roman"/>
          <w:lang w:val="en-US" w:eastAsia="zh-CN"/>
        </w:rPr>
        <w:t>无。</w:t>
      </w:r>
    </w:p>
    <w:p>
      <w:pPr>
        <w:pStyle w:val="103"/>
        <w:rPr>
          <w:rFonts w:ascii="Times New Roman"/>
        </w:rPr>
      </w:pPr>
      <w:bookmarkStart w:id="16" w:name="_Toc12241"/>
      <w:r>
        <w:rPr>
          <w:rFonts w:ascii="Times New Roman"/>
        </w:rPr>
        <w:t>育苗</w:t>
      </w:r>
      <w:bookmarkEnd w:id="16"/>
    </w:p>
    <w:p>
      <w:pPr>
        <w:pStyle w:val="65"/>
        <w:rPr>
          <w:rFonts w:ascii="Times New Roman"/>
        </w:rPr>
      </w:pPr>
      <w:bookmarkStart w:id="17" w:name="_Toc28819"/>
      <w:r>
        <w:rPr>
          <w:rFonts w:ascii="Times New Roman"/>
        </w:rPr>
        <w:t>砧木培育</w:t>
      </w:r>
      <w:bookmarkEnd w:id="17"/>
    </w:p>
    <w:p>
      <w:pPr>
        <w:ind w:firstLine="420" w:firstLineChars="200"/>
      </w:pPr>
      <w:r>
        <w:t>选用潮州酸杨桃种子培育砧木苗。于9</w:t>
      </w:r>
      <w:r>
        <w:rPr>
          <w:rFonts w:hint="eastAsia"/>
          <w:vertAlign w:val="superscript"/>
        </w:rPr>
        <w:t xml:space="preserve"> </w:t>
      </w:r>
      <w:r>
        <w:t>～10月采摘充分成熟、果形端正、无病虫害的潮州酸杨桃果实，取出种子，洗净种子外层的胶质物，放在通风阴凉处晾干，直接播种或湿沙保存至次年2</w:t>
      </w:r>
      <w:r>
        <w:rPr>
          <w:rFonts w:hint="eastAsia"/>
          <w:vertAlign w:val="superscript"/>
        </w:rPr>
        <w:t xml:space="preserve"> </w:t>
      </w:r>
      <w:r>
        <w:t>～3月播种。</w:t>
      </w:r>
    </w:p>
    <w:p>
      <w:pPr>
        <w:ind w:firstLine="420" w:firstLineChars="200"/>
      </w:pPr>
      <w:r>
        <w:t>播种前苗床要深翻晒白，以腐</w:t>
      </w:r>
      <w:r>
        <w:rPr>
          <w:rFonts w:hint="eastAsia"/>
        </w:rPr>
        <w:t>熟</w:t>
      </w:r>
      <w:r>
        <w:t>有机肥为基肥，施用量</w:t>
      </w:r>
      <w:r>
        <w:rPr>
          <w:rFonts w:hint="eastAsia"/>
        </w:rPr>
        <w:t>为</w:t>
      </w:r>
      <w:r>
        <w:t>7500</w:t>
      </w:r>
      <w:r>
        <w:rPr>
          <w:rFonts w:hint="eastAsia"/>
          <w:vertAlign w:val="superscript"/>
        </w:rPr>
        <w:t xml:space="preserve"> </w:t>
      </w:r>
      <w:r>
        <w:t>～15000</w:t>
      </w:r>
      <w:r>
        <w:rPr>
          <w:rFonts w:hint="eastAsia"/>
        </w:rPr>
        <w:t xml:space="preserve"> </w:t>
      </w:r>
      <w:r>
        <w:t>kg/hm</w:t>
      </w:r>
      <w:r>
        <w:rPr>
          <w:rFonts w:hint="eastAsia"/>
          <w:vertAlign w:val="superscript"/>
        </w:rPr>
        <w:t>2</w:t>
      </w:r>
      <w:r>
        <w:t>。将种子均匀撒在畦面，盖上一层细沙土，覆盖稻草并淋水保湿。当幼苗长到10</w:t>
      </w:r>
      <w:r>
        <w:rPr>
          <w:rFonts w:hint="eastAsia"/>
        </w:rPr>
        <w:t xml:space="preserve"> </w:t>
      </w:r>
      <w:r>
        <w:t>cm以上时开始浇施浓度为0.2</w:t>
      </w:r>
      <w:r>
        <w:rPr>
          <w:rFonts w:hint="eastAsia"/>
        </w:rPr>
        <w:t xml:space="preserve"> </w:t>
      </w:r>
      <w:r>
        <w:t>%</w:t>
      </w:r>
      <w:r>
        <w:rPr>
          <w:rFonts w:hint="eastAsia"/>
          <w:vertAlign w:val="superscript"/>
        </w:rPr>
        <w:t xml:space="preserve"> </w:t>
      </w:r>
      <w:r>
        <w:t>～0.3</w:t>
      </w:r>
      <w:r>
        <w:rPr>
          <w:rFonts w:hint="eastAsia"/>
        </w:rPr>
        <w:t xml:space="preserve"> </w:t>
      </w:r>
      <w:r>
        <w:t>%的</w:t>
      </w:r>
      <w:r>
        <w:rPr>
          <w:rFonts w:hint="eastAsia"/>
        </w:rPr>
        <w:t>复合肥（</w:t>
      </w:r>
      <w:r>
        <w:t>15:15:15</w:t>
      </w:r>
      <w:r>
        <w:rPr>
          <w:rFonts w:hint="eastAsia"/>
        </w:rPr>
        <w:t>）</w:t>
      </w:r>
      <w:r>
        <w:t>溶液，每20 d</w:t>
      </w:r>
      <w:r>
        <w:rPr>
          <w:rFonts w:hint="eastAsia"/>
          <w:vertAlign w:val="superscript"/>
        </w:rPr>
        <w:t xml:space="preserve"> </w:t>
      </w:r>
      <w:r>
        <w:t>～30</w:t>
      </w:r>
      <w:r>
        <w:rPr>
          <w:rFonts w:hint="eastAsia"/>
        </w:rPr>
        <w:t xml:space="preserve"> </w:t>
      </w:r>
      <w:r>
        <w:t>d一次。注意及时除草，加强病虫害防治。在苗高20</w:t>
      </w:r>
      <w:r>
        <w:rPr>
          <w:rFonts w:hint="eastAsia"/>
        </w:rPr>
        <w:t xml:space="preserve"> </w:t>
      </w:r>
      <w:r>
        <w:t>cm以上时进行移植，株行距为15cm</w:t>
      </w:r>
      <w:r>
        <w:rPr>
          <w:rFonts w:hint="eastAsia"/>
        </w:rPr>
        <w:t xml:space="preserve"> </w:t>
      </w:r>
      <w:r>
        <w:rPr>
          <w:rFonts w:ascii="Arial" w:hAnsi="Arial" w:cs="Arial"/>
        </w:rPr>
        <w:t>×</w:t>
      </w:r>
      <w:r>
        <w:rPr>
          <w:rFonts w:hint="eastAsia" w:ascii="Arial" w:hAnsi="Arial" w:cs="Arial"/>
        </w:rPr>
        <w:t xml:space="preserve"> </w:t>
      </w:r>
      <w:r>
        <w:t>20cm。砧木苗高度</w:t>
      </w:r>
      <w:r>
        <w:rPr>
          <w:rFonts w:hint="eastAsia"/>
        </w:rPr>
        <w:t>4</w:t>
      </w:r>
      <w:r>
        <w:t>0</w:t>
      </w:r>
      <w:r>
        <w:rPr>
          <w:rFonts w:hint="eastAsia"/>
        </w:rPr>
        <w:t xml:space="preserve"> </w:t>
      </w:r>
      <w:r>
        <w:t>cm</w:t>
      </w:r>
      <w:r>
        <w:rPr>
          <w:rFonts w:hint="eastAsia"/>
          <w:vertAlign w:val="superscript"/>
        </w:rPr>
        <w:t xml:space="preserve"> </w:t>
      </w:r>
      <w:r>
        <w:t>～</w:t>
      </w:r>
      <w:r>
        <w:rPr>
          <w:rFonts w:hint="eastAsia"/>
        </w:rPr>
        <w:t>5</w:t>
      </w:r>
      <w:r>
        <w:t>0</w:t>
      </w:r>
      <w:r>
        <w:rPr>
          <w:rFonts w:hint="eastAsia"/>
        </w:rPr>
        <w:t xml:space="preserve"> </w:t>
      </w:r>
      <w:r>
        <w:t>cm时剪除顶芽，主干茎粗0.</w:t>
      </w:r>
      <w:r>
        <w:rPr>
          <w:rFonts w:hint="eastAsia"/>
        </w:rPr>
        <w:t xml:space="preserve">6 </w:t>
      </w:r>
      <w:r>
        <w:t>cm以上时即可进行嫁接。</w:t>
      </w:r>
    </w:p>
    <w:p>
      <w:pPr>
        <w:pStyle w:val="65"/>
        <w:rPr>
          <w:rFonts w:ascii="Times New Roman"/>
        </w:rPr>
      </w:pPr>
      <w:bookmarkStart w:id="18" w:name="_Toc412"/>
      <w:r>
        <w:rPr>
          <w:rFonts w:ascii="Times New Roman"/>
        </w:rPr>
        <w:t>采穗</w:t>
      </w:r>
      <w:bookmarkEnd w:id="18"/>
    </w:p>
    <w:p>
      <w:pPr>
        <w:ind w:firstLine="420" w:firstLineChars="200"/>
      </w:pPr>
      <w:r>
        <w:t>杨桃接穗宜采自</w:t>
      </w:r>
      <w:r>
        <w:rPr>
          <w:rFonts w:hint="eastAsia"/>
        </w:rPr>
        <w:t>于</w:t>
      </w:r>
      <w:r>
        <w:t>丰产、稳产、果大、质优的无性母本树上，选择树冠外围向阳部位、生长充实、已木质化、幼芽未萌动的1年生枝条，随采随接。</w:t>
      </w:r>
    </w:p>
    <w:p>
      <w:pPr>
        <w:pStyle w:val="65"/>
        <w:rPr>
          <w:rFonts w:ascii="Times New Roman"/>
        </w:rPr>
      </w:pPr>
      <w:bookmarkStart w:id="19" w:name="_Toc27973"/>
      <w:r>
        <w:rPr>
          <w:rFonts w:ascii="Times New Roman"/>
        </w:rPr>
        <w:t>嫁接</w:t>
      </w:r>
      <w:bookmarkEnd w:id="19"/>
    </w:p>
    <w:p>
      <w:pPr>
        <w:ind w:firstLine="420" w:firstLineChars="200"/>
      </w:pPr>
      <w:r>
        <w:t>嫁接时间宜在2～3月</w:t>
      </w:r>
      <w:r>
        <w:rPr>
          <w:rFonts w:hint="eastAsia"/>
        </w:rPr>
        <w:t>，或9</w:t>
      </w:r>
      <w:r>
        <w:rPr>
          <w:rFonts w:hint="eastAsia"/>
          <w:vertAlign w:val="superscript"/>
        </w:rPr>
        <w:t xml:space="preserve"> </w:t>
      </w:r>
      <w:r>
        <w:t>～</w:t>
      </w:r>
      <w:r>
        <w:rPr>
          <w:rFonts w:hint="eastAsia"/>
        </w:rPr>
        <w:t>10月</w:t>
      </w:r>
      <w:r>
        <w:t>。一般采用切剪法，嫁接部位在砧木离地面</w:t>
      </w:r>
      <w:r>
        <w:rPr>
          <w:rFonts w:hint="eastAsia"/>
        </w:rPr>
        <w:t xml:space="preserve"> </w:t>
      </w:r>
      <w:r>
        <w:t>10</w:t>
      </w:r>
      <w:r>
        <w:rPr>
          <w:rFonts w:hint="eastAsia"/>
        </w:rPr>
        <w:t xml:space="preserve"> </w:t>
      </w:r>
      <w:r>
        <w:t>cm~</w:t>
      </w:r>
      <w:r>
        <w:rPr>
          <w:rFonts w:hint="eastAsia"/>
        </w:rPr>
        <w:t xml:space="preserve"> </w:t>
      </w:r>
      <w:r>
        <w:t>15</w:t>
      </w:r>
      <w:r>
        <w:rPr>
          <w:rFonts w:hint="eastAsia"/>
        </w:rPr>
        <w:t xml:space="preserve"> </w:t>
      </w:r>
      <w:r>
        <w:t>cm处。接穗长</w:t>
      </w:r>
      <w:r>
        <w:rPr>
          <w:rFonts w:hint="eastAsia"/>
        </w:rPr>
        <w:t xml:space="preserve"> </w:t>
      </w:r>
      <w:r>
        <w:t>2</w:t>
      </w:r>
      <w:r>
        <w:rPr>
          <w:rFonts w:hint="eastAsia"/>
        </w:rPr>
        <w:t xml:space="preserve"> </w:t>
      </w:r>
      <w:r>
        <w:t>cm~</w:t>
      </w:r>
      <w:r>
        <w:rPr>
          <w:rFonts w:hint="eastAsia"/>
        </w:rPr>
        <w:t xml:space="preserve"> </w:t>
      </w:r>
      <w:r>
        <w:t>3</w:t>
      </w:r>
      <w:r>
        <w:rPr>
          <w:rFonts w:hint="eastAsia"/>
        </w:rPr>
        <w:t xml:space="preserve"> </w:t>
      </w:r>
      <w:r>
        <w:t>cm左右，切口上部需留一</w:t>
      </w:r>
      <w:r>
        <w:rPr>
          <w:rFonts w:hint="eastAsia"/>
        </w:rPr>
        <w:t>芽</w:t>
      </w:r>
      <w:r>
        <w:t>。嫁接时切口长度</w:t>
      </w:r>
      <w:r>
        <w:rPr>
          <w:rFonts w:hint="eastAsia"/>
        </w:rPr>
        <w:t xml:space="preserve"> </w:t>
      </w:r>
      <w:r>
        <w:t>1.0</w:t>
      </w:r>
      <w:r>
        <w:rPr>
          <w:rFonts w:hint="eastAsia"/>
        </w:rPr>
        <w:t xml:space="preserve"> </w:t>
      </w:r>
      <w:r>
        <w:t>cm~</w:t>
      </w:r>
      <w:r>
        <w:rPr>
          <w:rFonts w:hint="eastAsia"/>
        </w:rPr>
        <w:t xml:space="preserve"> </w:t>
      </w:r>
      <w:r>
        <w:t>1.5</w:t>
      </w:r>
      <w:r>
        <w:rPr>
          <w:rFonts w:hint="eastAsia"/>
        </w:rPr>
        <w:t xml:space="preserve"> </w:t>
      </w:r>
      <w:r>
        <w:t>cm，切口平滑，形成层对准，用薄膜全封闭包扎接口。可采用芽接法进行补接。</w:t>
      </w:r>
    </w:p>
    <w:p>
      <w:pPr>
        <w:pStyle w:val="65"/>
        <w:rPr>
          <w:rFonts w:ascii="Times New Roman"/>
        </w:rPr>
      </w:pPr>
      <w:bookmarkStart w:id="20" w:name="_Toc17387"/>
      <w:r>
        <w:rPr>
          <w:rFonts w:ascii="Times New Roman"/>
        </w:rPr>
        <w:t>嫁接苗管理</w:t>
      </w:r>
      <w:bookmarkEnd w:id="20"/>
    </w:p>
    <w:p>
      <w:pPr>
        <w:ind w:firstLine="420" w:firstLineChars="200"/>
      </w:pPr>
      <w:r>
        <w:t>嫁接成活后新梢抽生3～6片叶时施低浓度的液体肥，每月1次。随时抹除砧木上长出的萌蘖，保留1条健壮的接穗新梢，其余的抹掉，淋水灌溉保持土壤湿润。待嫁接苗主干粗度在</w:t>
      </w:r>
      <w:r>
        <w:rPr>
          <w:rFonts w:hint="eastAsia"/>
        </w:rPr>
        <w:t xml:space="preserve"> </w:t>
      </w:r>
      <w:r>
        <w:t>0.8 cm时即可出圃。</w:t>
      </w:r>
    </w:p>
    <w:p>
      <w:pPr>
        <w:pStyle w:val="103"/>
        <w:rPr>
          <w:rFonts w:ascii="Times New Roman"/>
        </w:rPr>
      </w:pPr>
      <w:bookmarkStart w:id="21" w:name="_Toc20806"/>
      <w:r>
        <w:rPr>
          <w:rFonts w:ascii="Times New Roman"/>
        </w:rPr>
        <w:t>建园</w:t>
      </w:r>
      <w:bookmarkEnd w:id="21"/>
    </w:p>
    <w:p>
      <w:pPr>
        <w:pStyle w:val="65"/>
        <w:rPr>
          <w:rFonts w:ascii="Times New Roman"/>
        </w:rPr>
      </w:pPr>
      <w:bookmarkStart w:id="22" w:name="_Toc21558"/>
      <w:bookmarkStart w:id="23" w:name="_Toc11481"/>
      <w:bookmarkStart w:id="24" w:name="_Toc6853"/>
      <w:r>
        <w:rPr>
          <w:rFonts w:ascii="Times New Roman"/>
        </w:rPr>
        <w:t>园地选择</w:t>
      </w:r>
      <w:bookmarkEnd w:id="22"/>
      <w:bookmarkEnd w:id="23"/>
      <w:bookmarkEnd w:id="24"/>
    </w:p>
    <w:p>
      <w:pPr>
        <w:pStyle w:val="64"/>
        <w:spacing w:before="156" w:after="156"/>
        <w:rPr>
          <w:rFonts w:ascii="Times New Roman"/>
        </w:rPr>
      </w:pPr>
      <w:bookmarkStart w:id="25" w:name="_Toc14662"/>
      <w:r>
        <w:rPr>
          <w:rFonts w:ascii="Times New Roman"/>
        </w:rPr>
        <w:t>土壤条件与立地条件</w:t>
      </w:r>
      <w:bookmarkEnd w:id="25"/>
    </w:p>
    <w:p>
      <w:pPr>
        <w:pStyle w:val="23"/>
        <w:rPr>
          <w:rFonts w:ascii="Times New Roman"/>
        </w:rPr>
      </w:pPr>
      <w:r>
        <w:rPr>
          <w:rFonts w:ascii="Times New Roman"/>
        </w:rPr>
        <w:t>土壤微酸性或中性，pH值5.5～7.5。如达不到前述条件，需进行土壤改良，其它环境条件和土壤质量符合NY 5023的要求。建园时应选择交通便利、坡度5</w:t>
      </w:r>
      <w:r>
        <w:rPr>
          <w:rFonts w:hint="eastAsia" w:ascii="Times New Roman"/>
        </w:rPr>
        <w:t>°</w:t>
      </w:r>
      <w:r>
        <w:rPr>
          <w:rFonts w:ascii="Times New Roman"/>
        </w:rPr>
        <w:t>～25</w:t>
      </w:r>
      <w:r>
        <w:rPr>
          <w:rFonts w:hint="eastAsia" w:ascii="Times New Roman"/>
        </w:rPr>
        <w:t>°</w:t>
      </w:r>
      <w:r>
        <w:rPr>
          <w:rFonts w:ascii="Times New Roman"/>
        </w:rPr>
        <w:t>、土层深厚，活土层在60</w:t>
      </w:r>
      <w:r>
        <w:rPr>
          <w:rFonts w:hint="eastAsia" w:ascii="Times New Roman"/>
        </w:rPr>
        <w:t xml:space="preserve"> </w:t>
      </w:r>
      <w:r>
        <w:rPr>
          <w:rFonts w:ascii="Times New Roman"/>
        </w:rPr>
        <w:t>cm以上，地下水位在</w:t>
      </w:r>
      <w:r>
        <w:rPr>
          <w:rFonts w:hint="eastAsia" w:ascii="Times New Roman"/>
        </w:rPr>
        <w:t xml:space="preserve"> </w:t>
      </w:r>
      <w:r>
        <w:rPr>
          <w:rFonts w:ascii="Times New Roman"/>
        </w:rPr>
        <w:t>1</w:t>
      </w:r>
      <w:r>
        <w:rPr>
          <w:rFonts w:hint="eastAsia" w:ascii="Times New Roman"/>
        </w:rPr>
        <w:t xml:space="preserve"> </w:t>
      </w:r>
      <w:r>
        <w:rPr>
          <w:rFonts w:ascii="Times New Roman"/>
        </w:rPr>
        <w:t>m以下，背风向阳，排灌良好的丘陵园地</w:t>
      </w:r>
      <w:r>
        <w:rPr>
          <w:rFonts w:hint="eastAsia" w:ascii="Times New Roman"/>
        </w:rPr>
        <w:t>或者平地</w:t>
      </w:r>
      <w:r>
        <w:rPr>
          <w:rFonts w:ascii="Times New Roman"/>
        </w:rPr>
        <w:t>。</w:t>
      </w:r>
    </w:p>
    <w:p>
      <w:pPr>
        <w:pStyle w:val="64"/>
        <w:spacing w:before="156" w:after="156"/>
        <w:rPr>
          <w:rFonts w:ascii="Times New Roman"/>
        </w:rPr>
      </w:pPr>
      <w:bookmarkStart w:id="26" w:name="_Toc15796"/>
      <w:r>
        <w:rPr>
          <w:rFonts w:ascii="Times New Roman"/>
        </w:rPr>
        <w:t>气候条件与空气质量</w:t>
      </w:r>
      <w:bookmarkEnd w:id="26"/>
    </w:p>
    <w:p>
      <w:pPr>
        <w:pStyle w:val="23"/>
        <w:rPr>
          <w:rFonts w:ascii="Times New Roman"/>
        </w:rPr>
      </w:pPr>
      <w:r>
        <w:rPr>
          <w:rFonts w:ascii="Times New Roman"/>
        </w:rPr>
        <w:t>杨桃适宜在低海拔地区种植。年平均气温</w:t>
      </w:r>
      <w:r>
        <w:rPr>
          <w:rFonts w:hint="eastAsia" w:ascii="Times New Roman"/>
        </w:rPr>
        <w:t xml:space="preserve"> </w:t>
      </w:r>
      <w:r>
        <w:rPr>
          <w:rFonts w:ascii="Times New Roman"/>
        </w:rPr>
        <w:t>22</w:t>
      </w:r>
      <w:r>
        <w:rPr>
          <w:rFonts w:hint="eastAsia" w:ascii="Times New Roman"/>
        </w:rPr>
        <w:t xml:space="preserve"> </w:t>
      </w:r>
      <w:r>
        <w:rPr>
          <w:rFonts w:ascii="Times New Roman"/>
        </w:rPr>
        <w:t>℃以上、极端低温</w:t>
      </w:r>
      <w:r>
        <w:rPr>
          <w:rFonts w:hint="eastAsia" w:ascii="Times New Roman"/>
        </w:rPr>
        <w:t xml:space="preserve"> </w:t>
      </w:r>
      <w:r>
        <w:rPr>
          <w:rFonts w:ascii="Times New Roman"/>
        </w:rPr>
        <w:t>4</w:t>
      </w:r>
      <w:r>
        <w:rPr>
          <w:rFonts w:hint="eastAsia" w:ascii="Times New Roman"/>
        </w:rPr>
        <w:t xml:space="preserve"> </w:t>
      </w:r>
      <w:r>
        <w:rPr>
          <w:rFonts w:ascii="Times New Roman"/>
        </w:rPr>
        <w:t>℃以上。空气质量应符合NY 5023的规定。</w:t>
      </w:r>
    </w:p>
    <w:p>
      <w:pPr>
        <w:pStyle w:val="65"/>
        <w:rPr>
          <w:rFonts w:ascii="Times New Roman"/>
        </w:rPr>
      </w:pPr>
      <w:bookmarkStart w:id="27" w:name="_Toc22016"/>
      <w:bookmarkStart w:id="28" w:name="_Toc20518"/>
      <w:bookmarkStart w:id="29" w:name="_Toc24007"/>
      <w:r>
        <w:rPr>
          <w:rFonts w:ascii="Times New Roman"/>
        </w:rPr>
        <w:t>园地规划</w:t>
      </w:r>
      <w:bookmarkEnd w:id="27"/>
      <w:bookmarkEnd w:id="28"/>
      <w:bookmarkEnd w:id="29"/>
    </w:p>
    <w:p>
      <w:pPr>
        <w:pStyle w:val="64"/>
        <w:spacing w:before="156" w:after="156"/>
        <w:rPr>
          <w:rFonts w:ascii="Times New Roman"/>
        </w:rPr>
      </w:pPr>
      <w:bookmarkStart w:id="30" w:name="_Toc7794"/>
      <w:bookmarkStart w:id="31" w:name="_Toc20803"/>
      <w:bookmarkStart w:id="32" w:name="_Toc19948"/>
      <w:r>
        <w:rPr>
          <w:rFonts w:ascii="Times New Roman"/>
        </w:rPr>
        <w:t>小区</w:t>
      </w:r>
      <w:bookmarkEnd w:id="30"/>
      <w:bookmarkEnd w:id="31"/>
      <w:bookmarkEnd w:id="32"/>
    </w:p>
    <w:p>
      <w:pPr>
        <w:pStyle w:val="23"/>
        <w:rPr>
          <w:rFonts w:ascii="Times New Roman"/>
        </w:rPr>
      </w:pPr>
      <w:r>
        <w:rPr>
          <w:rFonts w:ascii="Times New Roman"/>
        </w:rPr>
        <w:t>小区以</w:t>
      </w:r>
      <w:r>
        <w:rPr>
          <w:rFonts w:hint="eastAsia" w:ascii="Times New Roman"/>
        </w:rPr>
        <w:t>正方形</w:t>
      </w:r>
      <w:r>
        <w:rPr>
          <w:rFonts w:ascii="Times New Roman"/>
        </w:rPr>
        <w:t>为宜，每个小区面积</w:t>
      </w:r>
      <w:r>
        <w:rPr>
          <w:rFonts w:hint="eastAsia" w:ascii="Times New Roman"/>
        </w:rPr>
        <w:t xml:space="preserve"> 0.2</w:t>
      </w:r>
      <w:r>
        <w:rPr>
          <w:rFonts w:ascii="Times New Roman"/>
        </w:rPr>
        <w:t xml:space="preserve"> hm</w:t>
      </w:r>
      <w:r>
        <w:rPr>
          <w:rFonts w:ascii="Times New Roman"/>
          <w:vertAlign w:val="superscript"/>
        </w:rPr>
        <w:t>2</w:t>
      </w:r>
      <w:r>
        <w:rPr>
          <w:rFonts w:hint="eastAsia" w:ascii="Times New Roman"/>
          <w:vertAlign w:val="superscript"/>
        </w:rPr>
        <w:t xml:space="preserve"> </w:t>
      </w:r>
      <w:r>
        <w:rPr>
          <w:rFonts w:ascii="Times New Roman"/>
        </w:rPr>
        <w:t>～</w:t>
      </w:r>
      <w:r>
        <w:rPr>
          <w:rFonts w:hint="eastAsia" w:ascii="Times New Roman"/>
        </w:rPr>
        <w:t xml:space="preserve"> 0.3</w:t>
      </w:r>
      <w:r>
        <w:rPr>
          <w:rFonts w:ascii="Times New Roman"/>
        </w:rPr>
        <w:t xml:space="preserve"> hm</w:t>
      </w:r>
      <w:r>
        <w:rPr>
          <w:rFonts w:ascii="Times New Roman"/>
          <w:vertAlign w:val="superscript"/>
        </w:rPr>
        <w:t>2</w:t>
      </w:r>
      <w:r>
        <w:rPr>
          <w:rFonts w:ascii="Times New Roman"/>
        </w:rPr>
        <w:t>，按地形将几个小区组成一个作业区，作业区面积为</w:t>
      </w:r>
      <w:r>
        <w:rPr>
          <w:rFonts w:hint="eastAsia" w:ascii="Times New Roman"/>
        </w:rPr>
        <w:t xml:space="preserve"> 0.1</w:t>
      </w:r>
      <w:r>
        <w:rPr>
          <w:rFonts w:ascii="Times New Roman"/>
        </w:rPr>
        <w:t xml:space="preserve"> hm</w:t>
      </w:r>
      <w:r>
        <w:rPr>
          <w:rFonts w:ascii="Times New Roman"/>
          <w:vertAlign w:val="superscript"/>
        </w:rPr>
        <w:t>2</w:t>
      </w:r>
      <w:r>
        <w:rPr>
          <w:rFonts w:hint="eastAsia" w:ascii="Times New Roman"/>
          <w:vertAlign w:val="superscript"/>
        </w:rPr>
        <w:t xml:space="preserve"> </w:t>
      </w:r>
      <w:r>
        <w:rPr>
          <w:rFonts w:ascii="Times New Roman"/>
        </w:rPr>
        <w:t>～</w:t>
      </w:r>
      <w:r>
        <w:rPr>
          <w:rFonts w:hint="eastAsia" w:ascii="Times New Roman"/>
        </w:rPr>
        <w:t xml:space="preserve"> 0.15</w:t>
      </w:r>
      <w:r>
        <w:rPr>
          <w:rFonts w:ascii="Times New Roman"/>
        </w:rPr>
        <w:t xml:space="preserve"> hm</w:t>
      </w:r>
      <w:r>
        <w:rPr>
          <w:rFonts w:ascii="Times New Roman"/>
          <w:vertAlign w:val="superscript"/>
        </w:rPr>
        <w:t>2</w:t>
      </w:r>
      <w:r>
        <w:rPr>
          <w:rFonts w:ascii="Times New Roman"/>
        </w:rPr>
        <w:t>左右。按同一小区园地条件相对一致、利于运输与机械化作业等原则，将全园划分为作业区、栽植区。</w:t>
      </w:r>
    </w:p>
    <w:p>
      <w:pPr>
        <w:pStyle w:val="64"/>
        <w:spacing w:before="156" w:after="156"/>
        <w:rPr>
          <w:rFonts w:ascii="Times New Roman"/>
        </w:rPr>
      </w:pPr>
      <w:bookmarkStart w:id="33" w:name="_Toc25955"/>
      <w:bookmarkStart w:id="34" w:name="_Toc5954"/>
      <w:bookmarkStart w:id="35" w:name="_Toc17170"/>
      <w:bookmarkStart w:id="36" w:name="_Toc10356"/>
      <w:r>
        <w:rPr>
          <w:rFonts w:ascii="Times New Roman"/>
        </w:rPr>
        <w:t>防护林</w:t>
      </w:r>
      <w:bookmarkEnd w:id="33"/>
      <w:bookmarkEnd w:id="34"/>
      <w:bookmarkEnd w:id="35"/>
    </w:p>
    <w:p>
      <w:pPr>
        <w:pStyle w:val="23"/>
        <w:rPr>
          <w:rFonts w:ascii="Times New Roman"/>
        </w:rPr>
      </w:pPr>
      <w:r>
        <w:rPr>
          <w:rFonts w:ascii="Times New Roman"/>
        </w:rPr>
        <w:t>防护林的主林带走向与本地区多风季节的风向垂直。防护林要求由5～8行组成，树种选择杉树</w:t>
      </w:r>
      <w:r>
        <w:rPr>
          <w:rFonts w:hint="eastAsia" w:ascii="Times New Roman"/>
        </w:rPr>
        <w:t>、大叶相思树</w:t>
      </w:r>
      <w:r>
        <w:rPr>
          <w:rFonts w:ascii="Times New Roman"/>
        </w:rPr>
        <w:t>等，株行距为</w:t>
      </w:r>
      <w:r>
        <w:rPr>
          <w:rFonts w:hint="eastAsia" w:ascii="Times New Roman"/>
        </w:rPr>
        <w:t xml:space="preserve"> </w:t>
      </w:r>
      <w:r>
        <w:rPr>
          <w:rFonts w:ascii="Times New Roman"/>
        </w:rPr>
        <w:t>1.0 m×</w:t>
      </w:r>
      <w:r>
        <w:rPr>
          <w:rFonts w:hint="eastAsia" w:ascii="Times New Roman"/>
        </w:rPr>
        <w:t xml:space="preserve"> </w:t>
      </w:r>
      <w:r>
        <w:rPr>
          <w:rFonts w:ascii="Times New Roman"/>
        </w:rPr>
        <w:t>1.0 m。</w:t>
      </w:r>
      <w:bookmarkEnd w:id="36"/>
    </w:p>
    <w:p>
      <w:pPr>
        <w:pStyle w:val="64"/>
        <w:spacing w:before="156" w:after="156"/>
        <w:rPr>
          <w:rFonts w:ascii="Times New Roman"/>
        </w:rPr>
      </w:pPr>
      <w:bookmarkStart w:id="37" w:name="_Toc11202"/>
      <w:bookmarkStart w:id="38" w:name="_Toc12509"/>
      <w:bookmarkStart w:id="39" w:name="_Toc11983"/>
      <w:r>
        <w:rPr>
          <w:rFonts w:ascii="Times New Roman"/>
        </w:rPr>
        <w:t>道路</w:t>
      </w:r>
      <w:bookmarkEnd w:id="37"/>
      <w:bookmarkEnd w:id="38"/>
      <w:bookmarkEnd w:id="39"/>
    </w:p>
    <w:p>
      <w:pPr>
        <w:pStyle w:val="116"/>
        <w:numPr>
          <w:ilvl w:val="3"/>
          <w:numId w:val="0"/>
        </w:numPr>
        <w:ind w:firstLine="420" w:firstLineChars="200"/>
        <w:rPr>
          <w:rFonts w:ascii="Times New Roman"/>
        </w:rPr>
      </w:pPr>
      <w:r>
        <w:rPr>
          <w:rFonts w:ascii="Times New Roman"/>
        </w:rPr>
        <w:t>为方便果园管理和运输，设置宽度不同的主干道、支路和便道三级道路。规模较大的杨桃园，应修筑一条衔接干线公路，且通达果园中央或穿越果园的主干道，主干道路面宽</w:t>
      </w:r>
      <w:r>
        <w:rPr>
          <w:rFonts w:hint="eastAsia" w:ascii="Times New Roman"/>
        </w:rPr>
        <w:t>2m</w:t>
      </w:r>
      <w:r>
        <w:rPr>
          <w:rFonts w:ascii="Times New Roman"/>
        </w:rPr>
        <w:t>～</w:t>
      </w:r>
      <w:r>
        <w:rPr>
          <w:rFonts w:hint="eastAsia" w:ascii="Times New Roman"/>
        </w:rPr>
        <w:t>3</w:t>
      </w:r>
      <w:r>
        <w:rPr>
          <w:rFonts w:ascii="Times New Roman"/>
        </w:rPr>
        <w:t xml:space="preserve"> m。支路与园区主干道衔接，贯穿果园每个作业小区，支路路面宽</w:t>
      </w:r>
      <w:r>
        <w:rPr>
          <w:rFonts w:hint="eastAsia" w:ascii="Times New Roman"/>
        </w:rPr>
        <w:t>1</w:t>
      </w:r>
      <w:r>
        <w:rPr>
          <w:rFonts w:ascii="Times New Roman"/>
        </w:rPr>
        <w:t xml:space="preserve"> m～</w:t>
      </w:r>
      <w:r>
        <w:rPr>
          <w:rFonts w:hint="eastAsia" w:ascii="Times New Roman"/>
        </w:rPr>
        <w:t xml:space="preserve"> 1.5</w:t>
      </w:r>
      <w:r>
        <w:rPr>
          <w:rFonts w:ascii="Times New Roman"/>
        </w:rPr>
        <w:t xml:space="preserve"> m。主干道和支路坡降一般不超过15</w:t>
      </w:r>
      <w:r>
        <w:rPr>
          <w:rFonts w:hint="eastAsia" w:ascii="Times New Roman"/>
        </w:rPr>
        <w:t xml:space="preserve"> </w:t>
      </w:r>
      <w:r>
        <w:rPr>
          <w:rFonts w:ascii="Times New Roman"/>
        </w:rPr>
        <w:t>%，路基需压实。</w:t>
      </w:r>
    </w:p>
    <w:p>
      <w:pPr>
        <w:pStyle w:val="116"/>
        <w:numPr>
          <w:ilvl w:val="3"/>
          <w:numId w:val="0"/>
        </w:numPr>
        <w:ind w:firstLine="420" w:firstLineChars="200"/>
        <w:rPr>
          <w:rFonts w:ascii="Times New Roman"/>
        </w:rPr>
      </w:pPr>
      <w:r>
        <w:rPr>
          <w:rFonts w:ascii="Times New Roman"/>
        </w:rPr>
        <w:t>有条件的果园，在坡度不高于10</w:t>
      </w:r>
      <w:r>
        <w:rPr>
          <w:rFonts w:hint="eastAsia" w:ascii="Times New Roman"/>
        </w:rPr>
        <w:t>°</w:t>
      </w:r>
      <w:r>
        <w:rPr>
          <w:rFonts w:ascii="Times New Roman"/>
        </w:rPr>
        <w:t>的缓坡山地修建机耕道和机械作业道。机耕道与支路或主干道相衔接，贯通各定植行行间，机耕道路面宽度</w:t>
      </w:r>
      <w:r>
        <w:rPr>
          <w:rFonts w:hint="eastAsia" w:ascii="Times New Roman"/>
        </w:rPr>
        <w:t xml:space="preserve"> </w:t>
      </w:r>
      <w:r>
        <w:rPr>
          <w:rFonts w:ascii="Times New Roman"/>
        </w:rPr>
        <w:t>2 m～3 m。在定植行行间设置机械作业道，与机耕道贯通。坡度为</w:t>
      </w:r>
      <w:r>
        <w:rPr>
          <w:rFonts w:hint="eastAsia" w:ascii="Times New Roman"/>
        </w:rPr>
        <w:t xml:space="preserve"> </w:t>
      </w:r>
      <w:r>
        <w:rPr>
          <w:rFonts w:ascii="Times New Roman"/>
        </w:rPr>
        <w:t>10°～25°的山地宜间隔</w:t>
      </w:r>
      <w:r>
        <w:rPr>
          <w:rFonts w:hint="eastAsia" w:ascii="Times New Roman"/>
        </w:rPr>
        <w:t xml:space="preserve"> </w:t>
      </w:r>
      <w:r>
        <w:rPr>
          <w:rFonts w:ascii="Times New Roman"/>
        </w:rPr>
        <w:t>200 m～300 m修筑一条宽1.5</w:t>
      </w:r>
      <w:r>
        <w:rPr>
          <w:rFonts w:hint="eastAsia" w:ascii="Times New Roman"/>
        </w:rPr>
        <w:t xml:space="preserve"> </w:t>
      </w:r>
      <w:r>
        <w:rPr>
          <w:rFonts w:ascii="Times New Roman"/>
        </w:rPr>
        <w:t>m，垂直于等高线或“S”形上下的轨道，通过轨道车实现农资、果实运输轻简化作业。</w:t>
      </w:r>
    </w:p>
    <w:p>
      <w:pPr>
        <w:pStyle w:val="64"/>
        <w:spacing w:before="156" w:after="156"/>
        <w:rPr>
          <w:rFonts w:ascii="Times New Roman"/>
        </w:rPr>
      </w:pPr>
      <w:bookmarkStart w:id="40" w:name="_Toc30272"/>
      <w:r>
        <w:rPr>
          <w:rFonts w:ascii="Times New Roman"/>
        </w:rPr>
        <w:t>排灌</w:t>
      </w:r>
      <w:bookmarkEnd w:id="40"/>
    </w:p>
    <w:p>
      <w:pPr>
        <w:ind w:firstLine="420" w:firstLineChars="200"/>
      </w:pPr>
      <w:r>
        <w:t>在园地四周设总排灌沟，小区内设纵横大沟并与畦沟相连，坡地建园还应在坡上设深、宽各</w:t>
      </w:r>
      <w:r>
        <w:rPr>
          <w:rFonts w:hint="eastAsia"/>
        </w:rPr>
        <w:t xml:space="preserve">40 </w:t>
      </w:r>
      <w:r>
        <w:t>cm</w:t>
      </w:r>
      <w:r>
        <w:rPr>
          <w:rFonts w:hint="eastAsia"/>
        </w:rPr>
        <w:t xml:space="preserve"> </w:t>
      </w:r>
      <w:r>
        <w:rPr>
          <w:rFonts w:hint="eastAsia"/>
          <w:vertAlign w:val="superscript"/>
        </w:rPr>
        <w:t xml:space="preserve"> </w:t>
      </w:r>
      <w:r>
        <w:t>～</w:t>
      </w:r>
      <w:r>
        <w:rPr>
          <w:rFonts w:hint="eastAsia"/>
        </w:rPr>
        <w:t xml:space="preserve"> 6</w:t>
      </w:r>
      <w:r>
        <w:t>0 cm的防洪沟。根据地势确定各</w:t>
      </w:r>
      <w:r>
        <w:rPr>
          <w:rFonts w:hint="eastAsia"/>
        </w:rPr>
        <w:t>排</w:t>
      </w:r>
      <w:r>
        <w:t>水沟的大小与深浅，以在</w:t>
      </w:r>
      <w:r>
        <w:rPr>
          <w:rFonts w:hint="eastAsia"/>
        </w:rPr>
        <w:t>短</w:t>
      </w:r>
      <w:r>
        <w:t>时间内能</w:t>
      </w:r>
      <w:r>
        <w:rPr>
          <w:rFonts w:hint="eastAsia"/>
        </w:rPr>
        <w:t>迅</w:t>
      </w:r>
      <w:r>
        <w:t>速排除园内积水为宜。无自流灌溉条件的杨桃园，应做好蓄水或引水工程。条件允许者，杨桃园内应设置滴灌、喷灌等节水灌溉设施。</w:t>
      </w:r>
    </w:p>
    <w:p>
      <w:pPr>
        <w:pStyle w:val="103"/>
        <w:rPr>
          <w:rFonts w:ascii="Times New Roman"/>
        </w:rPr>
      </w:pPr>
      <w:bookmarkStart w:id="41" w:name="_Toc31588"/>
      <w:r>
        <w:rPr>
          <w:rFonts w:ascii="Times New Roman"/>
        </w:rPr>
        <w:t>栽植</w:t>
      </w:r>
      <w:bookmarkEnd w:id="41"/>
    </w:p>
    <w:p>
      <w:pPr>
        <w:pStyle w:val="65"/>
        <w:rPr>
          <w:rFonts w:ascii="Times New Roman"/>
        </w:rPr>
      </w:pPr>
      <w:bookmarkStart w:id="42" w:name="_Toc10049"/>
      <w:r>
        <w:rPr>
          <w:rFonts w:ascii="Times New Roman"/>
        </w:rPr>
        <w:t>品种选择</w:t>
      </w:r>
      <w:bookmarkEnd w:id="42"/>
    </w:p>
    <w:p>
      <w:pPr>
        <w:ind w:firstLine="420" w:firstLineChars="200"/>
      </w:pPr>
      <w:r>
        <w:t>根据土壤肥力、管理水平及园地小气候等选择品种，宜选择本地适栽、抗逆性较强、高产优质和市场畅销的品种，如红杨桃、香蜜杨桃等。</w:t>
      </w:r>
    </w:p>
    <w:p>
      <w:pPr>
        <w:pStyle w:val="65"/>
        <w:rPr>
          <w:rFonts w:ascii="Times New Roman"/>
        </w:rPr>
      </w:pPr>
      <w:bookmarkStart w:id="43" w:name="_Toc18622"/>
      <w:r>
        <w:rPr>
          <w:rFonts w:hint="eastAsia" w:ascii="Times New Roman"/>
        </w:rPr>
        <w:t>授粉树配置</w:t>
      </w:r>
      <w:bookmarkEnd w:id="43"/>
    </w:p>
    <w:p>
      <w:pPr>
        <w:ind w:firstLine="420" w:firstLineChars="200"/>
      </w:pPr>
      <w:r>
        <w:rPr>
          <w:rFonts w:hint="eastAsia"/>
        </w:rPr>
        <w:t>种植自花授粉坐果率低的品种时，应配置花期、果期相近的其他品种作为授粉树。根据当地实际情况，在主栽品种树上高接2条或2条以上花期、果期相近的其他品种芽条，作为异花花粉来源。宜用泰国甜杨桃花粉、潮州酸杨桃花粉等为异花花粉来源。</w:t>
      </w:r>
    </w:p>
    <w:p>
      <w:pPr>
        <w:pStyle w:val="65"/>
        <w:rPr>
          <w:rFonts w:ascii="Times New Roman"/>
        </w:rPr>
      </w:pPr>
      <w:bookmarkStart w:id="44" w:name="_Toc12344"/>
      <w:r>
        <w:rPr>
          <w:rFonts w:ascii="Times New Roman"/>
        </w:rPr>
        <w:t>栽植密度</w:t>
      </w:r>
      <w:bookmarkEnd w:id="44"/>
    </w:p>
    <w:p>
      <w:pPr>
        <w:ind w:firstLine="420" w:firstLineChars="200"/>
      </w:pPr>
      <w:r>
        <w:t>推荐株行距为</w:t>
      </w:r>
      <w:r>
        <w:rPr>
          <w:rFonts w:hint="eastAsia"/>
        </w:rPr>
        <w:t xml:space="preserve"> </w:t>
      </w:r>
      <w:r>
        <w:t>5 m×</w:t>
      </w:r>
      <w:r>
        <w:rPr>
          <w:rFonts w:hint="eastAsia"/>
        </w:rPr>
        <w:t xml:space="preserve"> </w:t>
      </w:r>
      <w:r>
        <w:t>6</w:t>
      </w:r>
      <w:r>
        <w:rPr>
          <w:rFonts w:hint="eastAsia"/>
        </w:rPr>
        <w:t xml:space="preserve"> </w:t>
      </w:r>
      <w:r>
        <w:t>m，</w:t>
      </w:r>
      <w:r>
        <w:rPr>
          <w:rFonts w:hint="eastAsia"/>
        </w:rPr>
        <w:t xml:space="preserve"> </w:t>
      </w:r>
      <w:r>
        <w:t>4.5 m×</w:t>
      </w:r>
      <w:r>
        <w:rPr>
          <w:rFonts w:hint="eastAsia"/>
        </w:rPr>
        <w:t xml:space="preserve"> </w:t>
      </w:r>
      <w:r>
        <w:t>6.5</w:t>
      </w:r>
      <w:r>
        <w:rPr>
          <w:rFonts w:hint="eastAsia"/>
        </w:rPr>
        <w:t xml:space="preserve"> </w:t>
      </w:r>
      <w:r>
        <w:t>m、</w:t>
      </w:r>
      <w:r>
        <w:rPr>
          <w:rFonts w:hint="eastAsia"/>
        </w:rPr>
        <w:t xml:space="preserve"> </w:t>
      </w:r>
      <w:r>
        <w:t>4 m×</w:t>
      </w:r>
      <w:r>
        <w:rPr>
          <w:rFonts w:hint="eastAsia"/>
        </w:rPr>
        <w:t xml:space="preserve"> </w:t>
      </w:r>
      <w:r>
        <w:t>5 m，</w:t>
      </w:r>
      <w:r>
        <w:rPr>
          <w:rFonts w:hint="eastAsia"/>
        </w:rPr>
        <w:t>300</w:t>
      </w:r>
      <w:r>
        <w:t>株/hm</w:t>
      </w:r>
      <w:r>
        <w:rPr>
          <w:vertAlign w:val="superscript"/>
        </w:rPr>
        <w:t>2</w:t>
      </w:r>
      <w:r>
        <w:rPr>
          <w:rFonts w:hint="eastAsia"/>
          <w:vertAlign w:val="superscript"/>
        </w:rPr>
        <w:t xml:space="preserve"> </w:t>
      </w:r>
      <w:r>
        <w:t>～</w:t>
      </w:r>
      <w:r>
        <w:rPr>
          <w:rFonts w:hint="eastAsia"/>
        </w:rPr>
        <w:t>37</w:t>
      </w:r>
      <w:r>
        <w:t>5株/hm</w:t>
      </w:r>
      <w:r>
        <w:rPr>
          <w:vertAlign w:val="superscript"/>
        </w:rPr>
        <w:t>2</w:t>
      </w:r>
      <w:r>
        <w:rPr>
          <w:rFonts w:hint="eastAsia"/>
        </w:rPr>
        <w:t>。</w:t>
      </w:r>
    </w:p>
    <w:p>
      <w:pPr>
        <w:pStyle w:val="65"/>
        <w:rPr>
          <w:rFonts w:ascii="Times New Roman"/>
        </w:rPr>
      </w:pPr>
      <w:bookmarkStart w:id="45" w:name="_Toc9321"/>
      <w:r>
        <w:rPr>
          <w:rFonts w:ascii="Times New Roman"/>
        </w:rPr>
        <w:t>栽植时期</w:t>
      </w:r>
      <w:bookmarkEnd w:id="45"/>
    </w:p>
    <w:p>
      <w:pPr>
        <w:ind w:firstLine="420" w:firstLineChars="200"/>
      </w:pPr>
      <w:r>
        <w:t>主要在春、秋两季栽植，春植在1～3月春梢萌芽前进行，秋植在9～10月秋梢成熟后进行。</w:t>
      </w:r>
    </w:p>
    <w:p>
      <w:pPr>
        <w:pStyle w:val="65"/>
        <w:rPr>
          <w:rFonts w:ascii="Times New Roman"/>
        </w:rPr>
      </w:pPr>
      <w:bookmarkStart w:id="46" w:name="_Toc23724"/>
      <w:r>
        <w:rPr>
          <w:rFonts w:ascii="Times New Roman"/>
        </w:rPr>
        <w:t>栽植方法</w:t>
      </w:r>
      <w:bookmarkEnd w:id="46"/>
    </w:p>
    <w:p>
      <w:pPr>
        <w:ind w:firstLine="420" w:firstLineChars="200"/>
      </w:pPr>
      <w:r>
        <w:t>定植穴要求长、宽、深各</w:t>
      </w:r>
      <w:r>
        <w:rPr>
          <w:rFonts w:hint="eastAsia"/>
        </w:rPr>
        <w:t xml:space="preserve"> </w:t>
      </w:r>
      <w:r>
        <w:t>0.</w:t>
      </w:r>
      <w:r>
        <w:rPr>
          <w:rFonts w:hint="eastAsia"/>
        </w:rPr>
        <w:t xml:space="preserve">6 </w:t>
      </w:r>
      <w:r>
        <w:t>m，晒白1~2个月后，填入绿肥</w:t>
      </w:r>
      <w:r>
        <w:rPr>
          <w:rFonts w:hint="eastAsia"/>
        </w:rPr>
        <w:t xml:space="preserve"> 1</w:t>
      </w:r>
      <w:r>
        <w:t>5</w:t>
      </w:r>
      <w:r>
        <w:rPr>
          <w:rFonts w:hint="eastAsia"/>
          <w:vertAlign w:val="superscript"/>
        </w:rPr>
        <w:t xml:space="preserve"> </w:t>
      </w:r>
      <w:r>
        <w:t>～</w:t>
      </w:r>
      <w:r>
        <w:rPr>
          <w:rFonts w:hint="eastAsia"/>
        </w:rPr>
        <w:t>4</w:t>
      </w:r>
      <w:r>
        <w:t>0</w:t>
      </w:r>
      <w:r>
        <w:rPr>
          <w:rFonts w:hint="eastAsia"/>
        </w:rPr>
        <w:t xml:space="preserve"> </w:t>
      </w:r>
      <w:r>
        <w:t>kg/穴，撒生石灰</w:t>
      </w:r>
      <w:r>
        <w:rPr>
          <w:rFonts w:hint="eastAsia"/>
        </w:rPr>
        <w:t xml:space="preserve"> </w:t>
      </w:r>
      <w:r>
        <w:t>1~2</w:t>
      </w:r>
      <w:r>
        <w:rPr>
          <w:rFonts w:hint="eastAsia"/>
        </w:rPr>
        <w:t xml:space="preserve"> </w:t>
      </w:r>
      <w:r>
        <w:t>kg/穴，并施腐熟有机肥</w:t>
      </w:r>
      <w:r>
        <w:rPr>
          <w:rFonts w:hint="eastAsia"/>
        </w:rPr>
        <w:t xml:space="preserve"> </w:t>
      </w:r>
      <w:r>
        <w:t>50</w:t>
      </w:r>
      <w:r>
        <w:rPr>
          <w:rFonts w:hint="eastAsia"/>
        </w:rPr>
        <w:t xml:space="preserve"> </w:t>
      </w:r>
      <w:r>
        <w:t>kg/穴与磷肥</w:t>
      </w:r>
      <w:r>
        <w:rPr>
          <w:rFonts w:hint="eastAsia"/>
        </w:rPr>
        <w:t xml:space="preserve"> 2</w:t>
      </w:r>
      <w:r>
        <w:t>.5</w:t>
      </w:r>
      <w:r>
        <w:rPr>
          <w:rFonts w:hint="eastAsia"/>
        </w:rPr>
        <w:t xml:space="preserve"> </w:t>
      </w:r>
      <w:r>
        <w:t>kg/穴，与土壤拌匀，分层填满，</w:t>
      </w:r>
      <w:r>
        <w:rPr>
          <w:rFonts w:hint="eastAsia"/>
        </w:rPr>
        <w:t>经</w:t>
      </w:r>
      <w:r>
        <w:t>1~2个月沉实后再培高成</w:t>
      </w:r>
      <w:r>
        <w:rPr>
          <w:rFonts w:hint="eastAsia"/>
        </w:rPr>
        <w:t xml:space="preserve"> </w:t>
      </w:r>
      <w:r>
        <w:t>30 cm~</w:t>
      </w:r>
      <w:r>
        <w:rPr>
          <w:rFonts w:hint="eastAsia"/>
        </w:rPr>
        <w:t xml:space="preserve"> </w:t>
      </w:r>
      <w:r>
        <w:t>40</w:t>
      </w:r>
      <w:r>
        <w:rPr>
          <w:rFonts w:hint="eastAsia"/>
        </w:rPr>
        <w:t xml:space="preserve"> </w:t>
      </w:r>
      <w:r>
        <w:t>cm土堆栽植，栽植时苗木根部沾红泥浆或带土栽植。栽植后浇足定根水，在树盘盖上稻草或干草</w:t>
      </w:r>
      <w:r>
        <w:rPr>
          <w:rFonts w:hint="eastAsia"/>
        </w:rPr>
        <w:t>或地膜</w:t>
      </w:r>
      <w:r>
        <w:t>保湿</w:t>
      </w:r>
      <w:r>
        <w:rPr>
          <w:rFonts w:hint="eastAsia"/>
        </w:rPr>
        <w:t>。</w:t>
      </w:r>
    </w:p>
    <w:p>
      <w:pPr>
        <w:pStyle w:val="103"/>
        <w:rPr>
          <w:rFonts w:ascii="Times New Roman"/>
        </w:rPr>
      </w:pPr>
      <w:bookmarkStart w:id="47" w:name="_Toc30539"/>
      <w:r>
        <w:rPr>
          <w:rFonts w:ascii="Times New Roman"/>
        </w:rPr>
        <w:t>土壤管理</w:t>
      </w:r>
      <w:bookmarkEnd w:id="47"/>
    </w:p>
    <w:p>
      <w:pPr>
        <w:pStyle w:val="65"/>
        <w:rPr>
          <w:rFonts w:ascii="Times New Roman"/>
        </w:rPr>
      </w:pPr>
      <w:bookmarkStart w:id="48" w:name="_Toc5988"/>
      <w:r>
        <w:rPr>
          <w:rFonts w:ascii="Times New Roman"/>
        </w:rPr>
        <w:t>排灌水</w:t>
      </w:r>
      <w:bookmarkEnd w:id="48"/>
    </w:p>
    <w:p>
      <w:pPr>
        <w:ind w:firstLine="420" w:firstLineChars="200"/>
      </w:pPr>
      <w:r>
        <w:t>杨桃喜湿润环境，不耐干旱，生长季节连续半个月无雨应及时浇灌，雨季注意排涝。</w:t>
      </w:r>
    </w:p>
    <w:p>
      <w:pPr>
        <w:pStyle w:val="65"/>
        <w:rPr>
          <w:rFonts w:ascii="Times New Roman"/>
        </w:rPr>
      </w:pPr>
      <w:bookmarkStart w:id="49" w:name="_Toc30889"/>
      <w:r>
        <w:rPr>
          <w:rFonts w:ascii="Times New Roman"/>
        </w:rPr>
        <w:t>间作与土壤覆盖</w:t>
      </w:r>
      <w:bookmarkEnd w:id="49"/>
    </w:p>
    <w:p>
      <w:pPr>
        <w:ind w:firstLine="420" w:firstLineChars="200"/>
      </w:pPr>
      <w:r>
        <w:t>栽植1～2年的幼龄果园，可在行间间种豆类、绿肥、蔬菜等短期作物或让其自然生草。不宜间作木薯、甘薯等耗肥力强的作物。</w:t>
      </w:r>
    </w:p>
    <w:p>
      <w:pPr>
        <w:ind w:firstLine="420" w:firstLineChars="200"/>
      </w:pPr>
      <w:r>
        <w:t>幼龄树树盘盖草或者全园盖草</w:t>
      </w:r>
      <w:r>
        <w:rPr>
          <w:rFonts w:hint="eastAsia"/>
        </w:rPr>
        <w:t>或地膜</w:t>
      </w:r>
      <w:r>
        <w:t>，干草厚</w:t>
      </w:r>
      <w:r>
        <w:rPr>
          <w:rFonts w:hint="eastAsia"/>
        </w:rPr>
        <w:t xml:space="preserve"> </w:t>
      </w:r>
      <w:r>
        <w:t>10 cm～15 cm，并在其上压少量泥土，盖草不应接触树干，覆盖材料应离树头</w:t>
      </w:r>
      <w:r>
        <w:rPr>
          <w:rFonts w:hint="eastAsia"/>
        </w:rPr>
        <w:t xml:space="preserve"> </w:t>
      </w:r>
      <w:r>
        <w:t>10 cm以上</w:t>
      </w:r>
      <w:r>
        <w:rPr>
          <w:rFonts w:hint="eastAsia"/>
        </w:rPr>
        <w:t>。</w:t>
      </w:r>
    </w:p>
    <w:p>
      <w:pPr>
        <w:pStyle w:val="65"/>
        <w:rPr>
          <w:rFonts w:ascii="Times New Roman"/>
        </w:rPr>
      </w:pPr>
      <w:bookmarkStart w:id="50" w:name="_Toc7134"/>
      <w:r>
        <w:rPr>
          <w:rFonts w:ascii="Times New Roman"/>
        </w:rPr>
        <w:t>土壤改良</w:t>
      </w:r>
      <w:bookmarkEnd w:id="50"/>
    </w:p>
    <w:p>
      <w:pPr>
        <w:ind w:firstLine="420" w:firstLineChars="200"/>
      </w:pPr>
      <w:r>
        <w:t>幼年果园每年进行4～5次中耕除草，并配合追肥。定植2～3年后于秋冬季节进行扩穴改土，株间挖宽</w:t>
      </w:r>
      <w:r>
        <w:rPr>
          <w:rFonts w:hint="eastAsia"/>
        </w:rPr>
        <w:t xml:space="preserve"> </w:t>
      </w:r>
      <w:r>
        <w:t>60 cm、深</w:t>
      </w:r>
      <w:r>
        <w:rPr>
          <w:rFonts w:hint="eastAsia"/>
        </w:rPr>
        <w:t xml:space="preserve"> </w:t>
      </w:r>
      <w:r>
        <w:t>50 cm的条沟，每条沟填入绿肥</w:t>
      </w:r>
      <w:r>
        <w:rPr>
          <w:rFonts w:hint="eastAsia"/>
        </w:rPr>
        <w:t xml:space="preserve"> </w:t>
      </w:r>
      <w:r>
        <w:t>50 kg、生石灰</w:t>
      </w:r>
      <w:r>
        <w:rPr>
          <w:rFonts w:hint="eastAsia"/>
        </w:rPr>
        <w:t xml:space="preserve"> </w:t>
      </w:r>
      <w:r>
        <w:t>1 kg～ 2 kg、土杂肥</w:t>
      </w:r>
      <w:r>
        <w:rPr>
          <w:rFonts w:hint="eastAsia"/>
        </w:rPr>
        <w:t xml:space="preserve"> </w:t>
      </w:r>
      <w:r>
        <w:t>5 kg～ 10 kg。成年果园每年或隔年培土一次，时间在秋冬季节进行。</w:t>
      </w:r>
    </w:p>
    <w:p>
      <w:pPr>
        <w:pStyle w:val="65"/>
        <w:rPr>
          <w:rFonts w:ascii="Times New Roman"/>
        </w:rPr>
      </w:pPr>
      <w:bookmarkStart w:id="51" w:name="_Toc31271"/>
      <w:r>
        <w:rPr>
          <w:rFonts w:ascii="Times New Roman"/>
        </w:rPr>
        <w:t>施肥</w:t>
      </w:r>
      <w:bookmarkEnd w:id="51"/>
    </w:p>
    <w:p>
      <w:pPr>
        <w:ind w:firstLine="420" w:firstLineChars="200"/>
      </w:pPr>
      <w:r>
        <w:t>幼年树施肥以氮肥为主，适当搭配磷钾肥和腐熟的有机肥，以薄肥多施为主，每年施肥6~8次，在萌芽前或萌芽后施用。</w:t>
      </w:r>
    </w:p>
    <w:p>
      <w:pPr>
        <w:ind w:firstLine="420" w:firstLineChars="200"/>
      </w:pPr>
      <w:r>
        <w:t>成年树每年4月中下旬施商品有机肥</w:t>
      </w:r>
      <w:r>
        <w:rPr>
          <w:rFonts w:hint="eastAsia"/>
        </w:rPr>
        <w:t xml:space="preserve"> </w:t>
      </w:r>
      <w:r>
        <w:t>10 kg/株</w:t>
      </w:r>
      <w:r>
        <w:rPr>
          <w:rFonts w:hint="eastAsia"/>
        </w:rPr>
        <w:t>，</w:t>
      </w:r>
      <w:r>
        <w:t>配合施复合肥</w:t>
      </w:r>
      <w:r>
        <w:rPr>
          <w:rFonts w:hint="eastAsia"/>
        </w:rPr>
        <w:t xml:space="preserve"> </w:t>
      </w:r>
      <w:r>
        <w:t>1 kg/株；在7～8月施复合肥（15:15:15）</w:t>
      </w:r>
      <w:r>
        <w:rPr>
          <w:rFonts w:hint="eastAsia"/>
        </w:rPr>
        <w:t xml:space="preserve"> </w:t>
      </w:r>
      <w:r>
        <w:t>2 kg/株，10～11月施复合肥（17:5:23）2 kg/株。</w:t>
      </w:r>
    </w:p>
    <w:p>
      <w:pPr>
        <w:pStyle w:val="103"/>
        <w:rPr>
          <w:rFonts w:ascii="Times New Roman"/>
        </w:rPr>
      </w:pPr>
      <w:bookmarkStart w:id="52" w:name="_Toc28864"/>
      <w:r>
        <w:rPr>
          <w:rFonts w:ascii="Times New Roman"/>
        </w:rPr>
        <w:t>整形</w:t>
      </w:r>
      <w:r>
        <w:rPr>
          <w:rFonts w:hint="eastAsia" w:ascii="Times New Roman"/>
          <w:lang w:val="en-US" w:eastAsia="zh-CN"/>
        </w:rPr>
        <w:t>和</w:t>
      </w:r>
      <w:r>
        <w:rPr>
          <w:rFonts w:ascii="Times New Roman"/>
        </w:rPr>
        <w:t>修剪</w:t>
      </w:r>
      <w:bookmarkEnd w:id="52"/>
    </w:p>
    <w:p>
      <w:pPr>
        <w:pStyle w:val="65"/>
        <w:rPr>
          <w:rFonts w:ascii="Times New Roman"/>
        </w:rPr>
      </w:pPr>
      <w:bookmarkStart w:id="53" w:name="_Toc23811"/>
      <w:r>
        <w:rPr>
          <w:rFonts w:ascii="Times New Roman"/>
        </w:rPr>
        <w:t>幼年树整形修剪</w:t>
      </w:r>
      <w:bookmarkEnd w:id="53"/>
    </w:p>
    <w:p>
      <w:pPr>
        <w:pStyle w:val="64"/>
        <w:spacing w:before="156" w:after="156"/>
        <w:rPr>
          <w:rFonts w:ascii="Times New Roman"/>
        </w:rPr>
      </w:pPr>
      <w:bookmarkStart w:id="54" w:name="_Toc23237"/>
      <w:r>
        <w:rPr>
          <w:rFonts w:ascii="Times New Roman"/>
        </w:rPr>
        <w:t>树形</w:t>
      </w:r>
      <w:bookmarkEnd w:id="54"/>
    </w:p>
    <w:p>
      <w:pPr>
        <w:ind w:firstLine="420" w:firstLineChars="200"/>
        <w:rPr>
          <w:rFonts w:hint="eastAsia" w:eastAsia="宋体"/>
          <w:lang w:val="en-US" w:eastAsia="zh-CN"/>
        </w:rPr>
      </w:pPr>
      <w:r>
        <w:t>应培养一个骨架牢固、骨干枝分布均匀、通风透光的树冠，一般采用自然圆头形，或根据需要采用其他树形</w:t>
      </w:r>
      <w:r>
        <w:rPr>
          <w:rFonts w:hint="eastAsia"/>
          <w:lang w:eastAsia="zh-CN"/>
        </w:rPr>
        <w:t>。</w:t>
      </w:r>
      <w:bookmarkStart w:id="77" w:name="_GoBack"/>
      <w:bookmarkEnd w:id="77"/>
    </w:p>
    <w:p>
      <w:pPr>
        <w:pStyle w:val="64"/>
        <w:spacing w:before="156" w:after="156"/>
        <w:rPr>
          <w:rFonts w:ascii="Times New Roman"/>
        </w:rPr>
      </w:pPr>
      <w:bookmarkStart w:id="55" w:name="_Toc16850"/>
      <w:r>
        <w:rPr>
          <w:rFonts w:ascii="Times New Roman"/>
        </w:rPr>
        <w:t>定干</w:t>
      </w:r>
      <w:bookmarkEnd w:id="55"/>
    </w:p>
    <w:p>
      <w:pPr>
        <w:ind w:firstLine="420" w:firstLineChars="200"/>
      </w:pPr>
      <w:r>
        <w:t>根据地势、种植密度、树形等确定主干高度，一般在苗高</w:t>
      </w:r>
      <w:r>
        <w:rPr>
          <w:rFonts w:hint="eastAsia"/>
        </w:rPr>
        <w:t>6</w:t>
      </w:r>
      <w:r>
        <w:t>0 cm～</w:t>
      </w:r>
      <w:r>
        <w:rPr>
          <w:rFonts w:hint="eastAsia"/>
        </w:rPr>
        <w:t xml:space="preserve"> 8</w:t>
      </w:r>
      <w:r>
        <w:t>0 cm处截顶。</w:t>
      </w:r>
    </w:p>
    <w:p>
      <w:pPr>
        <w:pStyle w:val="64"/>
        <w:spacing w:before="156" w:after="156"/>
        <w:rPr>
          <w:rFonts w:ascii="Times New Roman"/>
        </w:rPr>
      </w:pPr>
      <w:bookmarkStart w:id="56" w:name="_Toc13279"/>
      <w:r>
        <w:rPr>
          <w:rFonts w:ascii="Times New Roman"/>
        </w:rPr>
        <w:t>培养枝干</w:t>
      </w:r>
      <w:bookmarkEnd w:id="56"/>
    </w:p>
    <w:p>
      <w:pPr>
        <w:ind w:firstLine="420" w:firstLineChars="200"/>
      </w:pPr>
      <w:r>
        <w:t>苗木截顶分枝后，选留分布均匀、长势均衡的分枝</w:t>
      </w:r>
      <w:r>
        <w:rPr>
          <w:rFonts w:hint="eastAsia"/>
        </w:rPr>
        <w:t>2</w:t>
      </w:r>
      <w:r>
        <w:t>～</w:t>
      </w:r>
      <w:r>
        <w:rPr>
          <w:rFonts w:hint="eastAsia"/>
        </w:rPr>
        <w:t>3</w:t>
      </w:r>
      <w:r>
        <w:t>条作为主枝(一级分枝)，其余分枝应剪除，用拉、撑、顶、吊、弯等方法调整主枝生长角度和方位，使主枝分布均匀，主枝与主干的夹角以45°~60°为宜。</w:t>
      </w:r>
    </w:p>
    <w:p>
      <w:pPr>
        <w:ind w:firstLine="420" w:firstLineChars="200"/>
      </w:pPr>
      <w:r>
        <w:t>当主枝</w:t>
      </w:r>
      <w:r>
        <w:rPr>
          <w:rFonts w:hint="eastAsia"/>
        </w:rPr>
        <w:t xml:space="preserve"> </w:t>
      </w:r>
      <w:r>
        <w:t>40</w:t>
      </w:r>
      <w:r>
        <w:rPr>
          <w:rFonts w:hint="eastAsia"/>
        </w:rPr>
        <w:t xml:space="preserve"> </w:t>
      </w:r>
      <w:r>
        <w:t>cm～</w:t>
      </w:r>
      <w:r>
        <w:rPr>
          <w:rFonts w:hint="eastAsia"/>
        </w:rPr>
        <w:t xml:space="preserve"> </w:t>
      </w:r>
      <w:r>
        <w:t>50</w:t>
      </w:r>
      <w:r>
        <w:rPr>
          <w:rFonts w:hint="eastAsia"/>
        </w:rPr>
        <w:t xml:space="preserve"> </w:t>
      </w:r>
      <w:r>
        <w:t>cm长时，在每一主枝距主干</w:t>
      </w:r>
      <w:r>
        <w:rPr>
          <w:rFonts w:hint="eastAsia"/>
        </w:rPr>
        <w:t xml:space="preserve"> </w:t>
      </w:r>
      <w:r>
        <w:t>30</w:t>
      </w:r>
      <w:r>
        <w:rPr>
          <w:rFonts w:hint="eastAsia"/>
        </w:rPr>
        <w:t xml:space="preserve"> </w:t>
      </w:r>
      <w:r>
        <w:t>cm～40</w:t>
      </w:r>
      <w:r>
        <w:rPr>
          <w:rFonts w:hint="eastAsia"/>
        </w:rPr>
        <w:t xml:space="preserve"> </w:t>
      </w:r>
      <w:r>
        <w:t>cm处摘心或短截，分枝后，选留其上2条分枝作为副主枝(二级分枝)，其余剪除。</w:t>
      </w:r>
    </w:p>
    <w:p>
      <w:pPr>
        <w:pStyle w:val="64"/>
        <w:spacing w:before="156" w:after="156"/>
        <w:rPr>
          <w:rFonts w:ascii="Times New Roman"/>
        </w:rPr>
      </w:pPr>
      <w:bookmarkStart w:id="57" w:name="_Toc20366"/>
      <w:r>
        <w:rPr>
          <w:rFonts w:ascii="Times New Roman"/>
        </w:rPr>
        <w:t>结果枝</w:t>
      </w:r>
      <w:bookmarkEnd w:id="57"/>
    </w:p>
    <w:p>
      <w:pPr>
        <w:ind w:firstLine="420" w:firstLineChars="200"/>
      </w:pPr>
      <w:r>
        <w:t>按副主枝培养方法依次培养三级、四级、五级分枝等结果枝群。</w:t>
      </w:r>
    </w:p>
    <w:p>
      <w:pPr>
        <w:pStyle w:val="64"/>
        <w:spacing w:before="156" w:after="156"/>
        <w:rPr>
          <w:rFonts w:ascii="Times New Roman"/>
        </w:rPr>
      </w:pPr>
      <w:bookmarkStart w:id="58" w:name="_Toc12461"/>
      <w:r>
        <w:rPr>
          <w:rFonts w:ascii="Times New Roman"/>
        </w:rPr>
        <w:t>修剪</w:t>
      </w:r>
      <w:bookmarkEnd w:id="58"/>
    </w:p>
    <w:p>
      <w:pPr>
        <w:ind w:firstLine="420" w:firstLineChars="200"/>
      </w:pPr>
      <w:r>
        <w:t>用拉枝、摘心、短截、疏删等方法抑制枝梢生长和促进分枝，控制枝条徒长，使各级枝条分布合理，保持从属性。多留斜生枝、下垂枝，适当控制徒长枝及直立枝。</w:t>
      </w:r>
    </w:p>
    <w:p>
      <w:pPr>
        <w:pStyle w:val="65"/>
        <w:rPr>
          <w:rFonts w:ascii="Times New Roman"/>
        </w:rPr>
      </w:pPr>
      <w:bookmarkStart w:id="59" w:name="_Toc5050"/>
      <w:r>
        <w:rPr>
          <w:rFonts w:ascii="Times New Roman"/>
        </w:rPr>
        <w:t>成年结果树整形修剪</w:t>
      </w:r>
      <w:bookmarkEnd w:id="59"/>
    </w:p>
    <w:p>
      <w:pPr>
        <w:pStyle w:val="64"/>
        <w:spacing w:before="156" w:after="156"/>
        <w:rPr>
          <w:rFonts w:ascii="Times New Roman"/>
        </w:rPr>
      </w:pPr>
      <w:bookmarkStart w:id="60" w:name="_Toc11903"/>
      <w:r>
        <w:rPr>
          <w:rFonts w:ascii="Times New Roman"/>
        </w:rPr>
        <w:t>修剪时期</w:t>
      </w:r>
      <w:bookmarkEnd w:id="60"/>
    </w:p>
    <w:p>
      <w:pPr>
        <w:ind w:firstLine="420" w:firstLineChars="200"/>
      </w:pPr>
      <w:r>
        <w:t>冬果采收后进行修剪</w:t>
      </w:r>
      <w:r>
        <w:rPr>
          <w:rFonts w:hint="eastAsia"/>
        </w:rPr>
        <w:t>，一般在清明后进行</w:t>
      </w:r>
      <w:r>
        <w:t>，以疏剪过多的大枝为主，适当剪除病虫枝、枯枝、过密枝、交叉枝、重叠枝、纤弱枝等无效枝。对衰老枝进行适当短截。</w:t>
      </w:r>
    </w:p>
    <w:p>
      <w:pPr>
        <w:ind w:firstLine="420" w:firstLineChars="200"/>
      </w:pPr>
      <w:r>
        <w:rPr>
          <w:rFonts w:hint="eastAsia"/>
        </w:rPr>
        <w:t>新</w:t>
      </w:r>
      <w:r>
        <w:t>梢形成转绿期进行轻度修剪，以疏剪徒长枝、枯枝、树冠中下层过密枝为主，防止枝叶过密</w:t>
      </w:r>
      <w:r>
        <w:rPr>
          <w:rFonts w:hint="eastAsia"/>
        </w:rPr>
        <w:t>，</w:t>
      </w:r>
      <w:r>
        <w:t>对较直立的新枝，于晴天中午对</w:t>
      </w:r>
      <w:r>
        <w:rPr>
          <w:rFonts w:hint="eastAsia"/>
        </w:rPr>
        <w:t>其</w:t>
      </w:r>
      <w:r>
        <w:t>进行弯枝。</w:t>
      </w:r>
    </w:p>
    <w:p>
      <w:pPr>
        <w:ind w:firstLine="420" w:firstLineChars="200"/>
      </w:pPr>
      <w:r>
        <w:t>每批果采收后进行轻度修</w:t>
      </w:r>
      <w:r>
        <w:rPr>
          <w:rFonts w:hint="eastAsia"/>
        </w:rPr>
        <w:t>剪</w:t>
      </w:r>
      <w:r>
        <w:t>，以疏徒长枝、过密枝、内向枝、交叉枝、</w:t>
      </w:r>
      <w:r>
        <w:rPr>
          <w:rFonts w:hint="eastAsia"/>
        </w:rPr>
        <w:t>重叠</w:t>
      </w:r>
      <w:r>
        <w:t>枝等为主。</w:t>
      </w:r>
    </w:p>
    <w:p>
      <w:pPr>
        <w:pStyle w:val="64"/>
        <w:spacing w:before="156" w:after="156"/>
        <w:rPr>
          <w:rFonts w:ascii="Times New Roman"/>
        </w:rPr>
      </w:pPr>
      <w:bookmarkStart w:id="61" w:name="_Toc19677"/>
      <w:r>
        <w:rPr>
          <w:rFonts w:ascii="Times New Roman"/>
        </w:rPr>
        <w:t>修剪方法</w:t>
      </w:r>
      <w:bookmarkEnd w:id="61"/>
    </w:p>
    <w:p>
      <w:pPr>
        <w:ind w:firstLine="420" w:firstLineChars="200"/>
      </w:pPr>
      <w:r>
        <w:t>修剪时应尽量保留树冠中下部枝条，包括易结果的下</w:t>
      </w:r>
      <w:r>
        <w:rPr>
          <w:rFonts w:hint="eastAsia"/>
        </w:rPr>
        <w:t>垂</w:t>
      </w:r>
      <w:r>
        <w:t>枝，适当控制直生枝，控上促下，防止树冠过高过密，使植株保持主枝、副主枝、其他分枝分布均匀，疏密适当，成层状排列，通风透光的自然圆头形树冠。</w:t>
      </w:r>
    </w:p>
    <w:p>
      <w:pPr>
        <w:ind w:firstLine="420" w:firstLineChars="200"/>
      </w:pPr>
      <w:r>
        <w:t>对直立枝、徒长枝采取拉枝或扭枝等方法使其斜生，疏剪过多、过密的直立枝。疏剪时，应留</w:t>
      </w:r>
      <w:r>
        <w:rPr>
          <w:rFonts w:hint="eastAsia"/>
        </w:rPr>
        <w:t xml:space="preserve"> </w:t>
      </w:r>
      <w:r>
        <w:t>1</w:t>
      </w:r>
      <w:r>
        <w:rPr>
          <w:rFonts w:hint="eastAsia"/>
        </w:rPr>
        <w:t xml:space="preserve"> </w:t>
      </w:r>
      <w:r>
        <w:t>cm～2 cm长的枝桩，使其枝端结果。树冠高度宜控制在 3.5 m以内。应防止修剪程度过重，必要时暂留树冠顶部少量徒长枝。</w:t>
      </w:r>
    </w:p>
    <w:p>
      <w:pPr>
        <w:pStyle w:val="103"/>
        <w:rPr>
          <w:rFonts w:ascii="Times New Roman"/>
        </w:rPr>
      </w:pPr>
      <w:bookmarkStart w:id="62" w:name="_Toc13936"/>
      <w:r>
        <w:rPr>
          <w:rFonts w:ascii="Times New Roman"/>
        </w:rPr>
        <w:t>花果调控</w:t>
      </w:r>
      <w:bookmarkEnd w:id="62"/>
    </w:p>
    <w:p>
      <w:pPr>
        <w:ind w:firstLine="420" w:firstLineChars="200"/>
      </w:pPr>
      <w:r>
        <w:t>在开花前，根据花穗着生情况疏去过密花穗，使花穗均匀分布。果实直径</w:t>
      </w:r>
      <w:r>
        <w:rPr>
          <w:rFonts w:hint="eastAsia"/>
        </w:rPr>
        <w:t xml:space="preserve"> </w:t>
      </w:r>
      <w:r>
        <w:t>2 cm左右时疏果，疏果原则是“去上留下、去外留内”，疏去病虫果、畸形果、着生过密的小果和树冠外围易受日灼果实，使果实在树上分布均匀。</w:t>
      </w:r>
    </w:p>
    <w:p>
      <w:pPr>
        <w:pStyle w:val="103"/>
        <w:rPr>
          <w:rFonts w:ascii="Times New Roman"/>
        </w:rPr>
      </w:pPr>
      <w:bookmarkStart w:id="63" w:name="_Toc14759"/>
      <w:r>
        <w:rPr>
          <w:rFonts w:ascii="Times New Roman"/>
        </w:rPr>
        <w:t>套袋</w:t>
      </w:r>
      <w:bookmarkEnd w:id="63"/>
    </w:p>
    <w:p>
      <w:pPr>
        <w:ind w:firstLine="420" w:firstLineChars="200"/>
        <w:rPr>
          <w:szCs w:val="21"/>
        </w:rPr>
      </w:pPr>
      <w:r>
        <w:rPr>
          <w:szCs w:val="21"/>
        </w:rPr>
        <w:t>在幼果发育至纵径达 3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cm</w:t>
      </w:r>
      <w:r>
        <w:t>～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6 cm时套袋。选用白色纸袋或者杨桃专用纸袋等，袋子规格（长×宽）一般为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3</w:t>
      </w:r>
      <w:r>
        <w:rPr>
          <w:rFonts w:hint="eastAsia"/>
          <w:szCs w:val="21"/>
        </w:rPr>
        <w:t>3</w:t>
      </w:r>
      <w:r>
        <w:rPr>
          <w:szCs w:val="21"/>
        </w:rPr>
        <w:t xml:space="preserve"> cm×（</w:t>
      </w:r>
      <w:r>
        <w:rPr>
          <w:rFonts w:hint="eastAsia"/>
          <w:szCs w:val="21"/>
        </w:rPr>
        <w:t>22</w:t>
      </w:r>
      <w:r>
        <w:t>～</w:t>
      </w:r>
      <w:r>
        <w:rPr>
          <w:rFonts w:hint="eastAsia"/>
          <w:szCs w:val="21"/>
        </w:rPr>
        <w:t>3</w:t>
      </w:r>
      <w:r>
        <w:rPr>
          <w:szCs w:val="21"/>
        </w:rPr>
        <w:t>0）cm。</w:t>
      </w:r>
    </w:p>
    <w:p>
      <w:pPr>
        <w:ind w:firstLine="420" w:firstLineChars="200"/>
      </w:pPr>
      <w:r>
        <w:t>套袋前全园喷一次杀虫杀菌剂，于上午露水干后套上袋子，连果枝一起绑扎。每批套袋应挂牌标明日期，或用不同材料标志加以区分。</w:t>
      </w:r>
    </w:p>
    <w:p>
      <w:pPr>
        <w:pStyle w:val="103"/>
        <w:rPr>
          <w:rFonts w:ascii="Times New Roman"/>
        </w:rPr>
      </w:pPr>
      <w:bookmarkStart w:id="64" w:name="_Toc1633"/>
      <w:r>
        <w:rPr>
          <w:rFonts w:ascii="Times New Roman"/>
        </w:rPr>
        <w:t>撑枝护果</w:t>
      </w:r>
      <w:bookmarkEnd w:id="64"/>
    </w:p>
    <w:p>
      <w:pPr>
        <w:ind w:firstLine="420" w:firstLineChars="200"/>
      </w:pPr>
      <w:r>
        <w:t>树体挂果后，应在树冠四周用竹木支撑易下垂的枝条，支撑点应位于枝条长度的2/3处，使枝条保持与主干延长线成45°～60°。</w:t>
      </w:r>
    </w:p>
    <w:p>
      <w:pPr>
        <w:pStyle w:val="103"/>
        <w:rPr>
          <w:rFonts w:ascii="Times New Roman"/>
        </w:rPr>
      </w:pPr>
      <w:bookmarkStart w:id="65" w:name="_Toc6785"/>
      <w:r>
        <w:rPr>
          <w:rFonts w:ascii="Times New Roman"/>
        </w:rPr>
        <w:t>自然灾害的预防和处理</w:t>
      </w:r>
      <w:bookmarkEnd w:id="65"/>
    </w:p>
    <w:p>
      <w:pPr>
        <w:ind w:firstLine="420" w:firstLineChars="200"/>
      </w:pPr>
      <w:r>
        <w:t>风害后及时对断枝、折枝进行修剪，清理果园，喷药防治病</w:t>
      </w:r>
      <w:r>
        <w:rPr>
          <w:rFonts w:hint="eastAsia"/>
        </w:rPr>
        <w:t>虫</w:t>
      </w:r>
      <w:r>
        <w:t>害。</w:t>
      </w:r>
    </w:p>
    <w:p>
      <w:pPr>
        <w:pStyle w:val="103"/>
        <w:rPr>
          <w:rFonts w:ascii="Times New Roman"/>
        </w:rPr>
      </w:pPr>
      <w:bookmarkStart w:id="66" w:name="_Toc14054"/>
      <w:r>
        <w:rPr>
          <w:rFonts w:ascii="Times New Roman"/>
        </w:rPr>
        <w:t>病虫害防治</w:t>
      </w:r>
      <w:bookmarkEnd w:id="66"/>
    </w:p>
    <w:p>
      <w:pPr>
        <w:pStyle w:val="65"/>
        <w:rPr>
          <w:rFonts w:ascii="Times New Roman"/>
        </w:rPr>
      </w:pPr>
      <w:bookmarkStart w:id="67" w:name="_Toc16470"/>
      <w:r>
        <w:rPr>
          <w:rFonts w:ascii="Times New Roman"/>
        </w:rPr>
        <w:t>主要防治对象</w:t>
      </w:r>
      <w:bookmarkEnd w:id="67"/>
    </w:p>
    <w:p>
      <w:pPr>
        <w:pStyle w:val="64"/>
        <w:spacing w:before="156" w:after="156"/>
        <w:rPr>
          <w:rFonts w:ascii="Times New Roman"/>
        </w:rPr>
      </w:pPr>
      <w:bookmarkStart w:id="68" w:name="_Toc3416"/>
      <w:r>
        <w:rPr>
          <w:rFonts w:ascii="Times New Roman"/>
        </w:rPr>
        <w:t>主要病害</w:t>
      </w:r>
      <w:bookmarkEnd w:id="68"/>
    </w:p>
    <w:p>
      <w:pPr>
        <w:ind w:firstLine="420" w:firstLineChars="200"/>
      </w:pPr>
      <w:r>
        <w:t>赤斑病、炭疽病、细</w:t>
      </w:r>
      <w:r>
        <w:rPr>
          <w:rFonts w:hint="eastAsia"/>
        </w:rPr>
        <w:t>菌</w:t>
      </w:r>
      <w:r>
        <w:t>性褐斑病、白纹羽病、煤烟病、枯萎病、赤衣病等。</w:t>
      </w:r>
    </w:p>
    <w:p>
      <w:pPr>
        <w:pStyle w:val="64"/>
        <w:spacing w:before="156" w:after="156"/>
        <w:rPr>
          <w:rFonts w:ascii="Times New Roman"/>
        </w:rPr>
      </w:pPr>
      <w:bookmarkStart w:id="69" w:name="_Toc6864"/>
      <w:r>
        <w:rPr>
          <w:rFonts w:ascii="Times New Roman"/>
        </w:rPr>
        <w:t>主要虫害</w:t>
      </w:r>
      <w:bookmarkEnd w:id="69"/>
    </w:p>
    <w:p>
      <w:pPr>
        <w:ind w:firstLine="420" w:firstLineChars="200"/>
      </w:pPr>
      <w:r>
        <w:t>鸟羽蛾、卷叶蛾类、介壳虫类、食蝇类、红蜘蛛(叶螨)、丽绿刺蛾等。</w:t>
      </w:r>
    </w:p>
    <w:p>
      <w:pPr>
        <w:pStyle w:val="65"/>
        <w:rPr>
          <w:rFonts w:ascii="Times New Roman"/>
        </w:rPr>
      </w:pPr>
      <w:bookmarkStart w:id="70" w:name="_Toc17315"/>
      <w:r>
        <w:rPr>
          <w:rFonts w:ascii="Times New Roman"/>
        </w:rPr>
        <w:t>防治原则</w:t>
      </w:r>
      <w:bookmarkEnd w:id="70"/>
    </w:p>
    <w:p>
      <w:pPr>
        <w:ind w:firstLine="420" w:firstLineChars="200"/>
      </w:pPr>
      <w:r>
        <w:t>贯彻“预防为主，综合防治”的植保方针，以改善杨桃园生态环境，加强栽培管理为基础，综合应用各种防治措施，优先采用农业防治、生物防治和物理防治措施，科学合理进行化学防治。</w:t>
      </w:r>
    </w:p>
    <w:p>
      <w:pPr>
        <w:pStyle w:val="65"/>
        <w:rPr>
          <w:rFonts w:ascii="Times New Roman"/>
        </w:rPr>
      </w:pPr>
      <w:bookmarkStart w:id="71" w:name="_Toc2404"/>
      <w:r>
        <w:rPr>
          <w:rFonts w:ascii="Times New Roman"/>
        </w:rPr>
        <w:t>农业防治</w:t>
      </w:r>
      <w:bookmarkEnd w:id="71"/>
    </w:p>
    <w:p>
      <w:pPr>
        <w:ind w:firstLine="420" w:firstLineChars="200"/>
      </w:pPr>
      <w:r>
        <w:t>选用适应性强、抗病虫害能力强的优良品种，使用无病虫害苗木。</w:t>
      </w:r>
    </w:p>
    <w:p>
      <w:pPr>
        <w:ind w:firstLine="420" w:firstLineChars="200"/>
      </w:pPr>
      <w:r>
        <w:t>加强土肥水管理，促植株生长健壮，提高树体自身抗病虫害能力。</w:t>
      </w:r>
    </w:p>
    <w:p>
      <w:pPr>
        <w:ind w:firstLine="420" w:firstLineChars="200"/>
      </w:pPr>
      <w:r>
        <w:t>在建园和栽培管理过程中，综合运用防护林带、行间间作或生草等技术。</w:t>
      </w:r>
    </w:p>
    <w:p>
      <w:pPr>
        <w:ind w:firstLine="420" w:firstLineChars="200"/>
      </w:pPr>
      <w:r>
        <w:t>宜采用测土平衡配方施肥，增施生态有机复合肥或施用充分腐熟的有机肥，少施化肥。</w:t>
      </w:r>
    </w:p>
    <w:p>
      <w:pPr>
        <w:ind w:firstLine="420" w:firstLineChars="200"/>
      </w:pPr>
      <w:r>
        <w:t>加强修剪，去除交叉枝、过密枝、病虫害枝、叶、花、果并集中进行无害化处理，加强冬季清园。</w:t>
      </w:r>
    </w:p>
    <w:p>
      <w:pPr>
        <w:pStyle w:val="65"/>
        <w:rPr>
          <w:rFonts w:ascii="Times New Roman"/>
        </w:rPr>
      </w:pPr>
      <w:bookmarkStart w:id="72" w:name="_Toc7071"/>
      <w:r>
        <w:rPr>
          <w:rFonts w:ascii="Times New Roman"/>
        </w:rPr>
        <w:t>物理机械防治</w:t>
      </w:r>
      <w:bookmarkEnd w:id="72"/>
    </w:p>
    <w:p>
      <w:pPr>
        <w:ind w:firstLine="420" w:firstLineChars="200"/>
      </w:pPr>
      <w:r>
        <w:t>使用诱虫灯诱杀夜间活动的害虫。</w:t>
      </w:r>
    </w:p>
    <w:p>
      <w:pPr>
        <w:ind w:firstLine="420" w:firstLineChars="200"/>
      </w:pPr>
      <w:r>
        <w:t>采用果实套袋技术防止病虫直接</w:t>
      </w:r>
      <w:r>
        <w:rPr>
          <w:rFonts w:hint="eastAsia"/>
        </w:rPr>
        <w:t>为害</w:t>
      </w:r>
      <w:r>
        <w:t>果实。</w:t>
      </w:r>
    </w:p>
    <w:p>
      <w:pPr>
        <w:pStyle w:val="65"/>
        <w:rPr>
          <w:rFonts w:ascii="Times New Roman"/>
        </w:rPr>
      </w:pPr>
      <w:bookmarkStart w:id="73" w:name="_Toc3557"/>
      <w:r>
        <w:rPr>
          <w:rFonts w:ascii="Times New Roman"/>
        </w:rPr>
        <w:t>生物防治</w:t>
      </w:r>
      <w:bookmarkEnd w:id="73"/>
    </w:p>
    <w:p>
      <w:pPr>
        <w:ind w:firstLine="420" w:firstLineChars="200"/>
      </w:pPr>
      <w:r>
        <w:t>优先使用微生物源、植物源生物农药。</w:t>
      </w:r>
    </w:p>
    <w:p>
      <w:pPr>
        <w:ind w:firstLine="420" w:firstLineChars="200"/>
      </w:pPr>
      <w:r>
        <w:t>选用对捕食螨、食螨瓢虫等天敌杀伤力小的杀虫剂。</w:t>
      </w:r>
    </w:p>
    <w:p>
      <w:pPr>
        <w:ind w:firstLine="420" w:firstLineChars="200"/>
      </w:pPr>
      <w:r>
        <w:t>保护或人工释放捕食性或寄生性天敌。</w:t>
      </w:r>
    </w:p>
    <w:p>
      <w:pPr>
        <w:ind w:firstLine="420" w:firstLineChars="200"/>
      </w:pPr>
      <w:r>
        <w:t>尽可能实行机械和人工除草，在果园周围种植密源植物。</w:t>
      </w:r>
    </w:p>
    <w:p>
      <w:pPr>
        <w:pStyle w:val="65"/>
        <w:rPr>
          <w:rFonts w:ascii="Times New Roman"/>
        </w:rPr>
      </w:pPr>
      <w:bookmarkStart w:id="74" w:name="_Toc482"/>
      <w:r>
        <w:rPr>
          <w:rFonts w:ascii="Times New Roman"/>
        </w:rPr>
        <w:t>化学防治</w:t>
      </w:r>
      <w:bookmarkEnd w:id="74"/>
    </w:p>
    <w:p>
      <w:pPr>
        <w:ind w:firstLine="420" w:firstLineChars="200"/>
      </w:pPr>
      <w:r>
        <w:t>推荐使用植物源杀虫剂、微生物源杀虫杀菌剂、昆虫生长调节剂、矿物源杀虫杀菌剂以及低毒、低残留化学农药。限制使用中等毒性的化学农药。</w:t>
      </w:r>
    </w:p>
    <w:p>
      <w:pPr>
        <w:ind w:firstLine="420" w:firstLineChars="200"/>
      </w:pPr>
      <w:r>
        <w:t>不应使用未经国家有关部门登记和许可生产的农药。</w:t>
      </w:r>
    </w:p>
    <w:p>
      <w:pPr>
        <w:ind w:firstLine="420" w:firstLineChars="200"/>
      </w:pPr>
      <w:r>
        <w:t>禁止使用剧毒、高毒、高残留或具有致畸、致癌、致突变的农药(见附录A)。</w:t>
      </w:r>
    </w:p>
    <w:p>
      <w:pPr>
        <w:ind w:firstLine="420" w:firstLineChars="200"/>
      </w:pPr>
      <w:r>
        <w:t>使用化学农药时，参照 GB 4285、GB/T 8321(所有部分)中有关的农药使用准则和规定，严格</w:t>
      </w:r>
      <w:r>
        <w:rPr>
          <w:rFonts w:hint="eastAsia"/>
        </w:rPr>
        <w:t>掌握</w:t>
      </w:r>
      <w:r>
        <w:t>施用剂量、施药次数和安全间隔期。对标准规定的农药，要严格按照该农药说明书中的规定进行使用，不得随意加大剂量和浓度。对限制使用的中等毒性农药，应针对不同病虫害防治对象，使用其浓度允许范围的下限。</w:t>
      </w:r>
    </w:p>
    <w:p>
      <w:pPr>
        <w:ind w:firstLine="420" w:firstLineChars="200"/>
      </w:pPr>
      <w:r>
        <w:t>提倡将不同类型农药交替使用和合理混用。</w:t>
      </w:r>
    </w:p>
    <w:p>
      <w:pPr>
        <w:pStyle w:val="65"/>
        <w:rPr>
          <w:rFonts w:ascii="Times New Roman"/>
        </w:rPr>
      </w:pPr>
      <w:bookmarkStart w:id="75" w:name="_Toc13423"/>
      <w:r>
        <w:rPr>
          <w:rFonts w:ascii="Times New Roman"/>
        </w:rPr>
        <w:t>杨桃主要病虫害防治方法</w:t>
      </w:r>
      <w:bookmarkEnd w:id="75"/>
    </w:p>
    <w:p>
      <w:pPr>
        <w:ind w:firstLine="420" w:firstLineChars="200"/>
      </w:pPr>
      <w:r>
        <w:t>参见附录B</w:t>
      </w:r>
    </w:p>
    <w:p>
      <w:pPr>
        <w:pStyle w:val="103"/>
        <w:rPr>
          <w:rFonts w:ascii="Times New Roman"/>
        </w:rPr>
      </w:pPr>
      <w:bookmarkStart w:id="76" w:name="_Toc25711"/>
      <w:r>
        <w:rPr>
          <w:rFonts w:ascii="Times New Roman"/>
        </w:rPr>
        <w:t>采收</w:t>
      </w:r>
      <w:bookmarkEnd w:id="76"/>
    </w:p>
    <w:p>
      <w:pPr>
        <w:ind w:firstLine="420" w:firstLineChars="200"/>
      </w:pPr>
      <w:r>
        <w:t>根据用途、市场需要分期分批采收。如远地销售或加工蜜饯时，进行青果采收，即在果实尚未充分成熟，果色淡绿略透黄时采收</w:t>
      </w:r>
      <w:r>
        <w:rPr>
          <w:rFonts w:hint="eastAsia"/>
        </w:rPr>
        <w:t>；</w:t>
      </w:r>
      <w:r>
        <w:t>而就地销售或加工果汁时，进行红果采收，即在果实充分成熟，果色转为红黄蜡色、风味最佳时进行采收。</w:t>
      </w:r>
    </w:p>
    <w:p>
      <w:pPr>
        <w:ind w:firstLine="420" w:firstLineChars="200"/>
      </w:pPr>
      <w:r>
        <w:t>整个采收过程中应轻采、轻放、轻运，并避免暴晒。采收宜选晴天或阴天，雨天或中午烈日不宜采收。</w:t>
      </w:r>
    </w:p>
    <w:p>
      <w:pPr>
        <w:ind w:firstLine="420" w:firstLineChars="200"/>
      </w:pPr>
      <w:r>
        <w:t>采收后24h内进行果品的分级、保鲜、包装与贮运。</w:t>
      </w:r>
    </w:p>
    <w:p>
      <w:pPr>
        <w:ind w:firstLine="420" w:firstLineChars="200"/>
      </w:pPr>
      <w:r>
        <w:t>采收完毕后及时清洁果园，将枯枝、落叶、落果等集中进行无害化处理。</w:t>
      </w:r>
    </w:p>
    <w:p>
      <w:pPr>
        <w:ind w:firstLine="420" w:firstLineChars="200"/>
      </w:pPr>
    </w:p>
    <w:p>
      <w:pPr>
        <w:pStyle w:val="67"/>
        <w:numPr>
          <w:ilvl w:val="0"/>
          <w:numId w:val="0"/>
        </w:numPr>
        <w:jc w:val="both"/>
      </w:pPr>
    </w:p>
    <w:p>
      <w:pPr>
        <w:pStyle w:val="23"/>
        <w:rPr>
          <w:rFonts w:ascii="Times New Roman"/>
        </w:rPr>
      </w:pPr>
    </w:p>
    <w:p>
      <w:pPr>
        <w:pStyle w:val="23"/>
        <w:rPr>
          <w:rFonts w:ascii="Times New Roman"/>
        </w:rPr>
      </w:pPr>
    </w:p>
    <w:p>
      <w:pPr>
        <w:pStyle w:val="23"/>
        <w:rPr>
          <w:rFonts w:ascii="Times New Roman"/>
        </w:rPr>
        <w:sectPr>
          <w:headerReference r:id="rId3" w:type="default"/>
          <w:footerReference r:id="rId4" w:type="default"/>
          <w:pgSz w:w="11906" w:h="16838"/>
          <w:pgMar w:top="567" w:right="1134" w:bottom="1134" w:left="1418" w:header="1418" w:footer="1134" w:gutter="0"/>
          <w:pgNumType w:start="1"/>
          <w:cols w:space="720" w:num="1"/>
          <w:formProt w:val="0"/>
          <w:docGrid w:type="lines" w:linePitch="312" w:charSpace="0"/>
        </w:sectPr>
      </w:pPr>
    </w:p>
    <w:p>
      <w:pPr>
        <w:pStyle w:val="23"/>
        <w:ind w:left="0" w:leftChars="0" w:firstLine="0" w:firstLineChars="0"/>
        <w:jc w:val="center"/>
        <w:rPr>
          <w:rFonts w:ascii="Times New Roman" w:eastAsia="黑体"/>
          <w:b/>
          <w:bCs/>
        </w:rPr>
      </w:pPr>
      <w:r>
        <w:rPr>
          <w:rFonts w:ascii="Times New Roman" w:eastAsia="黑体"/>
          <w:b/>
          <w:bCs/>
        </w:rPr>
        <w:t>附录 A</w:t>
      </w:r>
    </w:p>
    <w:p>
      <w:pPr>
        <w:pStyle w:val="23"/>
        <w:ind w:left="0" w:leftChars="0" w:firstLine="0" w:firstLineChars="0"/>
        <w:jc w:val="center"/>
        <w:rPr>
          <w:rFonts w:ascii="Times New Roman" w:eastAsia="黑体"/>
          <w:b/>
          <w:bCs/>
        </w:rPr>
      </w:pPr>
      <w:r>
        <w:rPr>
          <w:rFonts w:ascii="Times New Roman" w:eastAsia="黑体"/>
          <w:b/>
          <w:bCs/>
        </w:rPr>
        <w:t>(规范性附录)</w:t>
      </w:r>
    </w:p>
    <w:p>
      <w:pPr>
        <w:pStyle w:val="23"/>
        <w:ind w:left="0" w:leftChars="0" w:firstLine="0" w:firstLineChars="0"/>
        <w:jc w:val="center"/>
        <w:rPr>
          <w:rFonts w:ascii="Times New Roman" w:eastAsia="黑体"/>
          <w:b/>
          <w:bCs/>
        </w:rPr>
      </w:pPr>
      <w:r>
        <w:rPr>
          <w:rFonts w:ascii="Times New Roman" w:eastAsia="黑体"/>
          <w:b/>
          <w:bCs/>
        </w:rPr>
        <w:t>杨桃生产应禁止使用的农药</w:t>
      </w:r>
    </w:p>
    <w:p>
      <w:pPr>
        <w:pStyle w:val="23"/>
        <w:ind w:firstLine="422"/>
        <w:jc w:val="center"/>
        <w:rPr>
          <w:rFonts w:ascii="Times New Roman" w:eastAsia="黑体"/>
          <w:b/>
          <w:bCs/>
        </w:rPr>
      </w:pPr>
    </w:p>
    <w:p>
      <w:pPr>
        <w:pStyle w:val="23"/>
        <w:ind w:firstLine="0" w:firstLineChars="0"/>
        <w:rPr>
          <w:rFonts w:ascii="Times New Roman"/>
        </w:rPr>
      </w:pPr>
      <w:r>
        <w:rPr>
          <w:rFonts w:hint="eastAsia" w:ascii="Times New Roman"/>
        </w:rPr>
        <w:t>六六六、</w:t>
      </w:r>
      <w:r>
        <w:rPr>
          <w:rFonts w:ascii="Times New Roman"/>
        </w:rPr>
        <w:t>滴滴涕</w:t>
      </w:r>
      <w:r>
        <w:rPr>
          <w:rFonts w:hint="eastAsia" w:ascii="Times New Roman"/>
        </w:rPr>
        <w:t>、</w:t>
      </w:r>
      <w:r>
        <w:rPr>
          <w:rFonts w:ascii="Times New Roman"/>
        </w:rPr>
        <w:t>毒杀芬</w:t>
      </w:r>
      <w:r>
        <w:rPr>
          <w:rFonts w:hint="eastAsia" w:ascii="Times New Roman"/>
        </w:rPr>
        <w:t>、</w:t>
      </w:r>
      <w:r>
        <w:rPr>
          <w:rFonts w:ascii="Times New Roman"/>
        </w:rPr>
        <w:t>二溴氯丙烷</w:t>
      </w:r>
      <w:r>
        <w:rPr>
          <w:rFonts w:hint="eastAsia" w:ascii="Times New Roman"/>
        </w:rPr>
        <w:t>、</w:t>
      </w:r>
      <w:r>
        <w:rPr>
          <w:rFonts w:ascii="Times New Roman"/>
        </w:rPr>
        <w:t>杀虫脒</w:t>
      </w:r>
      <w:r>
        <w:rPr>
          <w:rFonts w:hint="eastAsia" w:ascii="Times New Roman"/>
        </w:rPr>
        <w:t>、</w:t>
      </w:r>
      <w:r>
        <w:rPr>
          <w:rFonts w:ascii="Times New Roman"/>
        </w:rPr>
        <w:t>二溴乙烷</w:t>
      </w:r>
      <w:r>
        <w:rPr>
          <w:rFonts w:hint="eastAsia" w:ascii="Times New Roman"/>
        </w:rPr>
        <w:t>、</w:t>
      </w:r>
      <w:r>
        <w:rPr>
          <w:rFonts w:ascii="Times New Roman"/>
        </w:rPr>
        <w:t>除草醚</w:t>
      </w:r>
      <w:r>
        <w:rPr>
          <w:rFonts w:hint="eastAsia" w:ascii="Times New Roman"/>
        </w:rPr>
        <w:t>、</w:t>
      </w:r>
      <w:r>
        <w:rPr>
          <w:rFonts w:ascii="Times New Roman"/>
        </w:rPr>
        <w:t>艾氏剂</w:t>
      </w:r>
      <w:r>
        <w:rPr>
          <w:rFonts w:hint="eastAsia" w:ascii="Times New Roman"/>
        </w:rPr>
        <w:t>、</w:t>
      </w:r>
      <w:r>
        <w:rPr>
          <w:rFonts w:ascii="Times New Roman"/>
        </w:rPr>
        <w:t>狄氏剂</w:t>
      </w:r>
      <w:r>
        <w:rPr>
          <w:rFonts w:hint="eastAsia" w:ascii="Times New Roman"/>
        </w:rPr>
        <w:t>、</w:t>
      </w:r>
      <w:r>
        <w:rPr>
          <w:rFonts w:ascii="Times New Roman"/>
        </w:rPr>
        <w:t>汞制剂</w:t>
      </w:r>
      <w:r>
        <w:rPr>
          <w:rFonts w:hint="eastAsia" w:ascii="Times New Roman"/>
        </w:rPr>
        <w:t>、</w:t>
      </w:r>
      <w:r>
        <w:rPr>
          <w:rFonts w:ascii="Times New Roman"/>
        </w:rPr>
        <w:t>砷、铅类</w:t>
      </w:r>
      <w:r>
        <w:rPr>
          <w:rFonts w:hint="eastAsia" w:ascii="Times New Roman"/>
        </w:rPr>
        <w:t>、</w:t>
      </w:r>
      <w:r>
        <w:rPr>
          <w:rFonts w:ascii="Times New Roman"/>
        </w:rPr>
        <w:t>敌枯双</w:t>
      </w:r>
      <w:r>
        <w:rPr>
          <w:rFonts w:hint="eastAsia" w:ascii="Times New Roman"/>
        </w:rPr>
        <w:t>、</w:t>
      </w:r>
      <w:r>
        <w:rPr>
          <w:rFonts w:ascii="Times New Roman"/>
        </w:rPr>
        <w:t>氟乙酰胺</w:t>
      </w:r>
      <w:r>
        <w:rPr>
          <w:rFonts w:hint="eastAsia" w:ascii="Times New Roman"/>
        </w:rPr>
        <w:t>、</w:t>
      </w:r>
      <w:r>
        <w:rPr>
          <w:rFonts w:ascii="Times New Roman"/>
        </w:rPr>
        <w:t>甘氟</w:t>
      </w:r>
      <w:r>
        <w:rPr>
          <w:rFonts w:hint="eastAsia" w:ascii="Times New Roman"/>
        </w:rPr>
        <w:t>、</w:t>
      </w:r>
      <w:r>
        <w:rPr>
          <w:rFonts w:ascii="Times New Roman"/>
        </w:rPr>
        <w:t>毒鼠强</w:t>
      </w:r>
      <w:r>
        <w:rPr>
          <w:rFonts w:hint="eastAsia" w:ascii="Times New Roman"/>
        </w:rPr>
        <w:t>、</w:t>
      </w:r>
      <w:r>
        <w:rPr>
          <w:rFonts w:ascii="Times New Roman"/>
        </w:rPr>
        <w:t>氟乙酸钠</w:t>
      </w:r>
      <w:r>
        <w:rPr>
          <w:rFonts w:hint="eastAsia" w:ascii="Times New Roman"/>
        </w:rPr>
        <w:t>、</w:t>
      </w:r>
      <w:r>
        <w:rPr>
          <w:rFonts w:ascii="Times New Roman"/>
        </w:rPr>
        <w:t>氟硅酸钠</w:t>
      </w:r>
      <w:r>
        <w:rPr>
          <w:rFonts w:hint="eastAsia" w:ascii="Times New Roman"/>
        </w:rPr>
        <w:t>、</w:t>
      </w:r>
      <w:r>
        <w:rPr>
          <w:rFonts w:ascii="Times New Roman"/>
        </w:rPr>
        <w:t>甲胺磷</w:t>
      </w:r>
      <w:r>
        <w:rPr>
          <w:rFonts w:hint="eastAsia" w:ascii="Times New Roman"/>
        </w:rPr>
        <w:t>、</w:t>
      </w:r>
      <w:r>
        <w:rPr>
          <w:rFonts w:ascii="Times New Roman"/>
        </w:rPr>
        <w:t>甲基对硫磷</w:t>
      </w:r>
      <w:r>
        <w:rPr>
          <w:rFonts w:hint="eastAsia" w:ascii="Times New Roman"/>
        </w:rPr>
        <w:t>、</w:t>
      </w:r>
      <w:r>
        <w:rPr>
          <w:rFonts w:ascii="Times New Roman"/>
        </w:rPr>
        <w:t>甲拌磷</w:t>
      </w:r>
      <w:r>
        <w:rPr>
          <w:rFonts w:hint="eastAsia" w:ascii="Times New Roman"/>
        </w:rPr>
        <w:t>、</w:t>
      </w:r>
      <w:r>
        <w:rPr>
          <w:rFonts w:ascii="Times New Roman"/>
        </w:rPr>
        <w:t>对硫磷</w:t>
      </w:r>
      <w:r>
        <w:rPr>
          <w:rFonts w:hint="eastAsia" w:ascii="Times New Roman"/>
        </w:rPr>
        <w:t>、</w:t>
      </w:r>
      <w:r>
        <w:rPr>
          <w:rFonts w:ascii="Times New Roman"/>
        </w:rPr>
        <w:t>久效磷</w:t>
      </w:r>
      <w:r>
        <w:rPr>
          <w:rFonts w:hint="eastAsia" w:ascii="Times New Roman"/>
        </w:rPr>
        <w:t>、</w:t>
      </w:r>
      <w:r>
        <w:rPr>
          <w:rFonts w:ascii="Times New Roman"/>
        </w:rPr>
        <w:t>磷胺</w:t>
      </w:r>
      <w:r>
        <w:rPr>
          <w:rFonts w:hint="eastAsia" w:ascii="Times New Roman"/>
        </w:rPr>
        <w:t>、</w:t>
      </w:r>
      <w:r>
        <w:rPr>
          <w:rFonts w:ascii="Times New Roman"/>
        </w:rPr>
        <w:t>甲拌磷</w:t>
      </w:r>
      <w:r>
        <w:rPr>
          <w:rFonts w:hint="eastAsia" w:ascii="Times New Roman"/>
        </w:rPr>
        <w:t>、</w:t>
      </w:r>
      <w:r>
        <w:rPr>
          <w:rFonts w:ascii="Times New Roman"/>
        </w:rPr>
        <w:t>甲基异硫磷</w:t>
      </w:r>
      <w:r>
        <w:rPr>
          <w:rFonts w:hint="eastAsia" w:ascii="Times New Roman"/>
        </w:rPr>
        <w:t>、</w:t>
      </w:r>
      <w:r>
        <w:rPr>
          <w:rFonts w:ascii="Times New Roman"/>
        </w:rPr>
        <w:t>特丁硫磷</w:t>
      </w:r>
      <w:r>
        <w:rPr>
          <w:rFonts w:hint="eastAsia" w:ascii="Times New Roman"/>
        </w:rPr>
        <w:t>、</w:t>
      </w:r>
      <w:r>
        <w:rPr>
          <w:rFonts w:ascii="Times New Roman"/>
        </w:rPr>
        <w:t>甲基硫环磷</w:t>
      </w:r>
      <w:r>
        <w:rPr>
          <w:rFonts w:hint="eastAsia" w:ascii="Times New Roman"/>
        </w:rPr>
        <w:t>、</w:t>
      </w:r>
      <w:r>
        <w:rPr>
          <w:rFonts w:ascii="Times New Roman"/>
        </w:rPr>
        <w:t>治螟磷</w:t>
      </w:r>
      <w:r>
        <w:rPr>
          <w:rFonts w:hint="eastAsia" w:ascii="Times New Roman"/>
        </w:rPr>
        <w:t>、</w:t>
      </w:r>
      <w:r>
        <w:rPr>
          <w:rFonts w:ascii="Times New Roman"/>
        </w:rPr>
        <w:t>内吸磷</w:t>
      </w:r>
      <w:r>
        <w:rPr>
          <w:rFonts w:hint="eastAsia" w:ascii="Times New Roman"/>
        </w:rPr>
        <w:t>、</w:t>
      </w:r>
      <w:r>
        <w:rPr>
          <w:rFonts w:ascii="Times New Roman"/>
        </w:rPr>
        <w:t>克百威</w:t>
      </w:r>
      <w:r>
        <w:rPr>
          <w:rFonts w:hint="eastAsia" w:ascii="Times New Roman"/>
        </w:rPr>
        <w:t>、</w:t>
      </w:r>
      <w:r>
        <w:rPr>
          <w:rFonts w:ascii="Times New Roman"/>
        </w:rPr>
        <w:t>涕灭威</w:t>
      </w:r>
      <w:r>
        <w:rPr>
          <w:rFonts w:hint="eastAsia" w:ascii="Times New Roman"/>
        </w:rPr>
        <w:t>、</w:t>
      </w:r>
      <w:r>
        <w:rPr>
          <w:rFonts w:ascii="Times New Roman"/>
        </w:rPr>
        <w:t>灭多威</w:t>
      </w:r>
      <w:r>
        <w:rPr>
          <w:rFonts w:hint="eastAsia" w:ascii="Times New Roman"/>
        </w:rPr>
        <w:t>、</w:t>
      </w:r>
      <w:r>
        <w:rPr>
          <w:rFonts w:ascii="Times New Roman"/>
        </w:rPr>
        <w:t>灭线磷</w:t>
      </w:r>
      <w:r>
        <w:rPr>
          <w:rFonts w:hint="eastAsia" w:ascii="Times New Roman"/>
        </w:rPr>
        <w:t>、</w:t>
      </w:r>
      <w:r>
        <w:rPr>
          <w:rFonts w:ascii="Times New Roman"/>
        </w:rPr>
        <w:t>蝇毒磷</w:t>
      </w:r>
      <w:r>
        <w:rPr>
          <w:rFonts w:hint="eastAsia" w:ascii="Times New Roman"/>
        </w:rPr>
        <w:t>、</w:t>
      </w:r>
      <w:r>
        <w:rPr>
          <w:rFonts w:ascii="Times New Roman"/>
        </w:rPr>
        <w:t>氧乐果</w:t>
      </w:r>
      <w:r>
        <w:rPr>
          <w:rFonts w:hint="eastAsia" w:ascii="Times New Roman"/>
        </w:rPr>
        <w:t>、</w:t>
      </w:r>
      <w:r>
        <w:rPr>
          <w:rFonts w:ascii="Times New Roman"/>
        </w:rPr>
        <w:t>水胺硫磷</w:t>
      </w:r>
      <w:r>
        <w:rPr>
          <w:rFonts w:hint="eastAsia" w:ascii="Times New Roman"/>
        </w:rPr>
        <w:t>、</w:t>
      </w:r>
      <w:r>
        <w:rPr>
          <w:rFonts w:ascii="Times New Roman"/>
        </w:rPr>
        <w:t>地虫硫磷</w:t>
      </w:r>
      <w:r>
        <w:rPr>
          <w:rFonts w:hint="eastAsia" w:ascii="Times New Roman"/>
        </w:rPr>
        <w:t>、</w:t>
      </w:r>
      <w:r>
        <w:rPr>
          <w:rFonts w:ascii="Times New Roman"/>
        </w:rPr>
        <w:t>五氢酚钠</w:t>
      </w:r>
      <w:r>
        <w:rPr>
          <w:rFonts w:hint="eastAsia" w:ascii="Times New Roman"/>
        </w:rPr>
        <w:t>、</w:t>
      </w:r>
      <w:r>
        <w:rPr>
          <w:rFonts w:ascii="Times New Roman"/>
        </w:rPr>
        <w:t>氢丹。以及国家规定禁止使用的其他农药。</w:t>
      </w:r>
    </w:p>
    <w:p>
      <w:pPr>
        <w:pStyle w:val="23"/>
        <w:ind w:firstLine="0" w:firstLineChars="0"/>
        <w:rPr>
          <w:rFonts w:ascii="Times New Roman"/>
        </w:rPr>
      </w:pPr>
    </w:p>
    <w:p>
      <w:pPr>
        <w:pStyle w:val="23"/>
        <w:ind w:firstLine="0" w:firstLineChars="0"/>
        <w:rPr>
          <w:rFonts w:ascii="Times New Roman"/>
        </w:rPr>
        <w:sectPr>
          <w:pgSz w:w="11906" w:h="16838"/>
          <w:pgMar w:top="567" w:right="1134" w:bottom="1134" w:left="1418" w:header="1418" w:footer="1134" w:gutter="0"/>
          <w:pgNumType w:start="1"/>
          <w:cols w:space="720" w:num="1"/>
          <w:formProt w:val="0"/>
          <w:docGrid w:type="lines" w:linePitch="312" w:charSpace="0"/>
        </w:sectPr>
      </w:pPr>
    </w:p>
    <w:p>
      <w:pPr>
        <w:pStyle w:val="23"/>
        <w:ind w:firstLine="0" w:firstLineChars="0"/>
        <w:jc w:val="center"/>
        <w:rPr>
          <w:rFonts w:ascii="Times New Roman" w:eastAsia="黑体"/>
          <w:b/>
          <w:bCs/>
        </w:rPr>
      </w:pPr>
      <w:r>
        <w:rPr>
          <w:rFonts w:ascii="Times New Roman" w:eastAsia="黑体"/>
          <w:b/>
          <w:bCs/>
        </w:rPr>
        <w:t>附录 B</w:t>
      </w:r>
    </w:p>
    <w:p>
      <w:pPr>
        <w:pStyle w:val="23"/>
        <w:ind w:firstLine="0" w:firstLineChars="0"/>
        <w:jc w:val="center"/>
        <w:rPr>
          <w:rFonts w:ascii="Times New Roman" w:eastAsia="黑体"/>
          <w:b/>
          <w:bCs/>
        </w:rPr>
      </w:pPr>
      <w:r>
        <w:rPr>
          <w:rFonts w:ascii="Times New Roman" w:eastAsia="黑体"/>
          <w:b/>
          <w:bCs/>
        </w:rPr>
        <w:t>（资料性附录）</w:t>
      </w:r>
    </w:p>
    <w:p>
      <w:pPr>
        <w:pStyle w:val="23"/>
        <w:ind w:firstLine="0" w:firstLineChars="0"/>
        <w:jc w:val="center"/>
        <w:rPr>
          <w:rFonts w:ascii="Times New Roman" w:eastAsia="黑体"/>
          <w:b/>
          <w:bCs/>
        </w:rPr>
      </w:pPr>
      <w:r>
        <w:rPr>
          <w:rFonts w:ascii="Times New Roman" w:eastAsia="黑体"/>
          <w:b/>
          <w:bCs/>
        </w:rPr>
        <w:t>杨桃主要病虫害防治方法</w:t>
      </w:r>
    </w:p>
    <w:p>
      <w:pPr>
        <w:pStyle w:val="23"/>
        <w:ind w:firstLine="0" w:firstLineChars="0"/>
        <w:jc w:val="center"/>
        <w:rPr>
          <w:rFonts w:ascii="Times New Roman" w:eastAsia="黑体"/>
        </w:rPr>
      </w:pPr>
      <w:r>
        <w:rPr>
          <w:rFonts w:ascii="Times New Roman" w:eastAsia="黑体"/>
          <w:b/>
          <w:bCs/>
        </w:rPr>
        <w:t>表B.1 杨桃主要病害防治方法</w:t>
      </w:r>
    </w:p>
    <w:tbl>
      <w:tblPr>
        <w:tblStyle w:val="3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4"/>
        <w:gridCol w:w="2730"/>
        <w:gridCol w:w="1470"/>
        <w:gridCol w:w="2155"/>
        <w:gridCol w:w="19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4" w:type="dxa"/>
            <w:vMerge w:val="restart"/>
          </w:tcPr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防治对象</w:t>
            </w:r>
          </w:p>
        </w:tc>
        <w:tc>
          <w:tcPr>
            <w:tcW w:w="2730" w:type="dxa"/>
            <w:vMerge w:val="restart"/>
          </w:tcPr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农药名称</w:t>
            </w:r>
          </w:p>
        </w:tc>
        <w:tc>
          <w:tcPr>
            <w:tcW w:w="3625" w:type="dxa"/>
            <w:gridSpan w:val="2"/>
          </w:tcPr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药剂防治</w:t>
            </w:r>
          </w:p>
        </w:tc>
        <w:tc>
          <w:tcPr>
            <w:tcW w:w="1971" w:type="dxa"/>
            <w:vMerge w:val="restart"/>
          </w:tcPr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其他防治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4" w:type="dxa"/>
            <w:vMerge w:val="continue"/>
          </w:tcPr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2730" w:type="dxa"/>
            <w:vMerge w:val="continue"/>
          </w:tcPr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470" w:type="dxa"/>
          </w:tcPr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使用浓度</w:t>
            </w:r>
          </w:p>
        </w:tc>
        <w:tc>
          <w:tcPr>
            <w:tcW w:w="2155" w:type="dxa"/>
          </w:tcPr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施用时期与方式</w:t>
            </w:r>
          </w:p>
        </w:tc>
        <w:tc>
          <w:tcPr>
            <w:tcW w:w="1971" w:type="dxa"/>
            <w:vMerge w:val="continue"/>
          </w:tcPr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4" w:type="dxa"/>
            <w:vMerge w:val="restart"/>
          </w:tcPr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赤斑病</w:t>
            </w:r>
          </w:p>
        </w:tc>
        <w:tc>
          <w:tcPr>
            <w:tcW w:w="2730" w:type="dxa"/>
          </w:tcPr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25％咪鲜胺乳油</w:t>
            </w:r>
          </w:p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30％氧氯化铜可湿性粉剂</w:t>
            </w:r>
          </w:p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70％甲基硫菌灵可湿性粉剂</w:t>
            </w:r>
          </w:p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50％多菌灵可湿性粉剂</w:t>
            </w:r>
          </w:p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75％百菌清可湿性粉剂</w:t>
            </w:r>
          </w:p>
        </w:tc>
        <w:tc>
          <w:tcPr>
            <w:tcW w:w="1470" w:type="dxa"/>
          </w:tcPr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500-1 000 倍液</w:t>
            </w:r>
          </w:p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600-800 倍液</w:t>
            </w:r>
          </w:p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800-1 000 倍液</w:t>
            </w:r>
          </w:p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800-1 000 倍液</w:t>
            </w:r>
          </w:p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700-800 倍液</w:t>
            </w:r>
          </w:p>
        </w:tc>
        <w:tc>
          <w:tcPr>
            <w:tcW w:w="2155" w:type="dxa"/>
          </w:tcPr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春梢抽生期喷雾预防，田间发病时喷药防治。</w:t>
            </w:r>
          </w:p>
        </w:tc>
        <w:tc>
          <w:tcPr>
            <w:tcW w:w="1971" w:type="dxa"/>
            <w:vMerge w:val="restart"/>
          </w:tcPr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加强管理，增强树势；增施有机肥，防止偏施氮肥；冬春季清园。将病枝、枯枝、病叶、落叶、病果、烂果集中烧毁。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4" w:type="dxa"/>
            <w:vMerge w:val="continue"/>
          </w:tcPr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2730" w:type="dxa"/>
          </w:tcPr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0.5％波尔多液</w:t>
            </w:r>
          </w:p>
        </w:tc>
        <w:tc>
          <w:tcPr>
            <w:tcW w:w="1470" w:type="dxa"/>
          </w:tcPr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石灰倍量式</w:t>
            </w:r>
          </w:p>
        </w:tc>
        <w:tc>
          <w:tcPr>
            <w:tcW w:w="2155" w:type="dxa"/>
          </w:tcPr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台风暴雨后喷雾。</w:t>
            </w:r>
          </w:p>
        </w:tc>
        <w:tc>
          <w:tcPr>
            <w:tcW w:w="1971" w:type="dxa"/>
            <w:vMerge w:val="continue"/>
          </w:tcPr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4" w:type="dxa"/>
            <w:vMerge w:val="restart"/>
          </w:tcPr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炭疽病</w:t>
            </w:r>
          </w:p>
        </w:tc>
        <w:tc>
          <w:tcPr>
            <w:tcW w:w="2730" w:type="dxa"/>
          </w:tcPr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1％波尔多液</w:t>
            </w:r>
          </w:p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40％硫磺胶悬剂</w:t>
            </w:r>
          </w:p>
        </w:tc>
        <w:tc>
          <w:tcPr>
            <w:tcW w:w="1470" w:type="dxa"/>
          </w:tcPr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石灰等量式</w:t>
            </w:r>
          </w:p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300 倍液</w:t>
            </w:r>
          </w:p>
        </w:tc>
        <w:tc>
          <w:tcPr>
            <w:tcW w:w="2155" w:type="dxa"/>
          </w:tcPr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冬、 夏清园后喷雾</w:t>
            </w:r>
            <w:r>
              <w:rPr>
                <w:rFonts w:hint="eastAsia" w:ascii="Times New Roman"/>
                <w:sz w:val="18"/>
                <w:szCs w:val="18"/>
              </w:rPr>
              <w:t>。</w:t>
            </w:r>
          </w:p>
        </w:tc>
        <w:tc>
          <w:tcPr>
            <w:tcW w:w="1971" w:type="dxa"/>
            <w:vMerge w:val="restart"/>
          </w:tcPr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冬夏季结合修剪进行清园，将病枝、枯枝、病叶、落叶集中烧毁。</w:t>
            </w:r>
          </w:p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采果、包装过程中防止机械损伤。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4" w:type="dxa"/>
            <w:vMerge w:val="continue"/>
          </w:tcPr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2730" w:type="dxa"/>
          </w:tcPr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50%咪酰胺锰络合物可湿性粉剂</w:t>
            </w:r>
          </w:p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75％百菌清可湿性粉剂</w:t>
            </w:r>
          </w:p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80％炭疽福美可湿性粉剂</w:t>
            </w:r>
          </w:p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77％氢氧化铜可湿性粉剂</w:t>
            </w:r>
          </w:p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80％代森猛锌可湿性粉剂</w:t>
            </w:r>
          </w:p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50％多菌灵可湿性粉剂</w:t>
            </w:r>
          </w:p>
        </w:tc>
        <w:tc>
          <w:tcPr>
            <w:tcW w:w="1470" w:type="dxa"/>
          </w:tcPr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1000-2000 倍液</w:t>
            </w:r>
          </w:p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700-800 倍液</w:t>
            </w:r>
          </w:p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600 倍液</w:t>
            </w:r>
          </w:p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400-600 倍液</w:t>
            </w:r>
          </w:p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600-800 倍液</w:t>
            </w:r>
          </w:p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800-1 000 倍液</w:t>
            </w:r>
          </w:p>
        </w:tc>
        <w:tc>
          <w:tcPr>
            <w:tcW w:w="2155" w:type="dxa"/>
          </w:tcPr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主要开花前、谢花后和幼果期喷雾。</w:t>
            </w:r>
          </w:p>
        </w:tc>
        <w:tc>
          <w:tcPr>
            <w:tcW w:w="1971" w:type="dxa"/>
            <w:vMerge w:val="continue"/>
          </w:tcPr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4" w:type="dxa"/>
          </w:tcPr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细苗性褐斑病</w:t>
            </w:r>
          </w:p>
        </w:tc>
        <w:tc>
          <w:tcPr>
            <w:tcW w:w="2730" w:type="dxa"/>
          </w:tcPr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30％氧氯化铜可湿性粉剂</w:t>
            </w:r>
          </w:p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10％农用链霉素可湿性粉剂</w:t>
            </w:r>
          </w:p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0.5%波尔多液</w:t>
            </w:r>
          </w:p>
        </w:tc>
        <w:tc>
          <w:tcPr>
            <w:tcW w:w="1470" w:type="dxa"/>
          </w:tcPr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600 倍液</w:t>
            </w:r>
          </w:p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1000 倍液</w:t>
            </w:r>
          </w:p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石灰倍量式</w:t>
            </w:r>
          </w:p>
        </w:tc>
        <w:tc>
          <w:tcPr>
            <w:tcW w:w="2155" w:type="dxa"/>
          </w:tcPr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台风暴雨后及时喷雾。</w:t>
            </w:r>
          </w:p>
        </w:tc>
        <w:tc>
          <w:tcPr>
            <w:tcW w:w="1971" w:type="dxa"/>
          </w:tcPr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套袋护果。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4" w:type="dxa"/>
            <w:vMerge w:val="restart"/>
          </w:tcPr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白纹羽病</w:t>
            </w:r>
          </w:p>
        </w:tc>
        <w:tc>
          <w:tcPr>
            <w:tcW w:w="2730" w:type="dxa"/>
          </w:tcPr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5％菌毒清水剂</w:t>
            </w:r>
          </w:p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80％代森猛锌可湿性粉剂</w:t>
            </w:r>
          </w:p>
        </w:tc>
        <w:tc>
          <w:tcPr>
            <w:tcW w:w="1470" w:type="dxa"/>
          </w:tcPr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200-300 倍液</w:t>
            </w:r>
          </w:p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600-800 倍液</w:t>
            </w:r>
          </w:p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2155" w:type="dxa"/>
          </w:tcPr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发病初期，将根颈处附近上壤扒开暴晒后， 淋灌于树干周围1m直径范围内</w:t>
            </w:r>
            <w:r>
              <w:rPr>
                <w:rFonts w:hint="eastAsia" w:ascii="Times New Roman"/>
                <w:sz w:val="18"/>
                <w:szCs w:val="18"/>
              </w:rPr>
              <w:t>。</w:t>
            </w:r>
          </w:p>
        </w:tc>
        <w:tc>
          <w:tcPr>
            <w:tcW w:w="1971" w:type="dxa"/>
            <w:vMerge w:val="restart"/>
          </w:tcPr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加强排水，避免大田漫灌：清除罹病植株；增施有机肥。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4" w:type="dxa"/>
            <w:vMerge w:val="continue"/>
          </w:tcPr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2730" w:type="dxa"/>
          </w:tcPr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40％稻瘟灵可湿性粉剂</w:t>
            </w:r>
          </w:p>
        </w:tc>
        <w:tc>
          <w:tcPr>
            <w:tcW w:w="1470" w:type="dxa"/>
          </w:tcPr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每株 25 g</w:t>
            </w:r>
          </w:p>
        </w:tc>
        <w:tc>
          <w:tcPr>
            <w:tcW w:w="2155" w:type="dxa"/>
          </w:tcPr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于病区罹病株更新前一周施于树干周围 35 cm直径上壤中。</w:t>
            </w:r>
          </w:p>
        </w:tc>
        <w:tc>
          <w:tcPr>
            <w:tcW w:w="1971" w:type="dxa"/>
            <w:vMerge w:val="continue"/>
          </w:tcPr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4" w:type="dxa"/>
          </w:tcPr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煤烟病</w:t>
            </w:r>
          </w:p>
        </w:tc>
        <w:tc>
          <w:tcPr>
            <w:tcW w:w="2730" w:type="dxa"/>
          </w:tcPr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0.5％波尔多液</w:t>
            </w:r>
          </w:p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30％氧氯化铜可湿性粉剂</w:t>
            </w:r>
          </w:p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石灰硫磺合剂</w:t>
            </w:r>
          </w:p>
        </w:tc>
        <w:tc>
          <w:tcPr>
            <w:tcW w:w="1470" w:type="dxa"/>
          </w:tcPr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石灰等量式</w:t>
            </w:r>
          </w:p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600-800 倍液</w:t>
            </w:r>
          </w:p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0.5波美度</w:t>
            </w:r>
          </w:p>
        </w:tc>
        <w:tc>
          <w:tcPr>
            <w:tcW w:w="2155" w:type="dxa"/>
          </w:tcPr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采果后喷雾。</w:t>
            </w:r>
          </w:p>
        </w:tc>
        <w:tc>
          <w:tcPr>
            <w:tcW w:w="1971" w:type="dxa"/>
          </w:tcPr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加强防治介壳虫、蚜虫等害虫；加强修剪使果园通风透光。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4" w:type="dxa"/>
          </w:tcPr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枯萎病</w:t>
            </w:r>
          </w:p>
        </w:tc>
        <w:tc>
          <w:tcPr>
            <w:tcW w:w="2730" w:type="dxa"/>
          </w:tcPr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5％菌毒清水剂</w:t>
            </w:r>
          </w:p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40％硫磺胶悬剂</w:t>
            </w:r>
          </w:p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2％农抗 120 水剂</w:t>
            </w:r>
          </w:p>
        </w:tc>
        <w:tc>
          <w:tcPr>
            <w:tcW w:w="1470" w:type="dxa"/>
          </w:tcPr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200 倍液</w:t>
            </w:r>
          </w:p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300 倍液</w:t>
            </w:r>
          </w:p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200 倍液</w:t>
            </w:r>
          </w:p>
        </w:tc>
        <w:tc>
          <w:tcPr>
            <w:tcW w:w="2155" w:type="dxa"/>
          </w:tcPr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发病初期喷雾。</w:t>
            </w:r>
          </w:p>
        </w:tc>
        <w:tc>
          <w:tcPr>
            <w:tcW w:w="1971" w:type="dxa"/>
          </w:tcPr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加强检疫；及时排除园内积水；有机</w:t>
            </w:r>
            <w:r>
              <w:rPr>
                <w:rFonts w:hint="eastAsia" w:ascii="Times New Roman"/>
                <w:sz w:val="18"/>
                <w:szCs w:val="18"/>
              </w:rPr>
              <w:t>肥</w:t>
            </w:r>
            <w:r>
              <w:rPr>
                <w:rFonts w:ascii="Times New Roman"/>
                <w:sz w:val="18"/>
                <w:szCs w:val="18"/>
              </w:rPr>
              <w:t>应腐熟后施用；及时拔除病株并集中烧毁，原穴位施用石灰。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4" w:type="dxa"/>
            <w:vMerge w:val="restart"/>
          </w:tcPr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赤衣病</w:t>
            </w:r>
          </w:p>
        </w:tc>
        <w:tc>
          <w:tcPr>
            <w:tcW w:w="2730" w:type="dxa"/>
          </w:tcPr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50％多菌灵可湿性粉剂</w:t>
            </w:r>
          </w:p>
        </w:tc>
        <w:tc>
          <w:tcPr>
            <w:tcW w:w="1470" w:type="dxa"/>
          </w:tcPr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800-1000 倍液</w:t>
            </w:r>
          </w:p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2155" w:type="dxa"/>
          </w:tcPr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春季菌丝尚未侵入树体组织时，树干喷雾。</w:t>
            </w:r>
          </w:p>
        </w:tc>
        <w:tc>
          <w:tcPr>
            <w:tcW w:w="1971" w:type="dxa"/>
            <w:vMerge w:val="restart"/>
          </w:tcPr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加强修剪，使果园通风透光。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4" w:type="dxa"/>
            <w:vMerge w:val="continue"/>
          </w:tcPr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2730" w:type="dxa"/>
          </w:tcPr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10％波尔多液</w:t>
            </w:r>
          </w:p>
        </w:tc>
        <w:tc>
          <w:tcPr>
            <w:tcW w:w="1470" w:type="dxa"/>
          </w:tcPr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液浆</w:t>
            </w:r>
          </w:p>
        </w:tc>
        <w:tc>
          <w:tcPr>
            <w:tcW w:w="2155" w:type="dxa"/>
          </w:tcPr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及时刮除病斑后，涂抹患处。</w:t>
            </w:r>
          </w:p>
        </w:tc>
        <w:tc>
          <w:tcPr>
            <w:tcW w:w="1971" w:type="dxa"/>
            <w:vMerge w:val="continue"/>
          </w:tcPr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</w:p>
        </w:tc>
      </w:tr>
    </w:tbl>
    <w:p>
      <w:pPr>
        <w:pStyle w:val="23"/>
        <w:ind w:firstLine="0" w:firstLineChars="0"/>
        <w:jc w:val="center"/>
        <w:rPr>
          <w:rFonts w:ascii="Times New Roman" w:eastAsia="黑体"/>
          <w:b/>
          <w:bCs/>
        </w:rPr>
      </w:pPr>
      <w:r>
        <w:rPr>
          <w:rFonts w:ascii="Times New Roman" w:eastAsia="黑体"/>
          <w:b/>
          <w:bCs/>
        </w:rPr>
        <w:t>表B.2 杨桃主要虫害防治方法</w:t>
      </w:r>
    </w:p>
    <w:tbl>
      <w:tblPr>
        <w:tblStyle w:val="3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4"/>
        <w:gridCol w:w="2441"/>
        <w:gridCol w:w="1800"/>
        <w:gridCol w:w="1501"/>
        <w:gridCol w:w="19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14" w:type="dxa"/>
            <w:vMerge w:val="restart"/>
          </w:tcPr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防治对象</w:t>
            </w:r>
          </w:p>
        </w:tc>
        <w:tc>
          <w:tcPr>
            <w:tcW w:w="2441" w:type="dxa"/>
            <w:vMerge w:val="restart"/>
          </w:tcPr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农药名称</w:t>
            </w:r>
          </w:p>
        </w:tc>
        <w:tc>
          <w:tcPr>
            <w:tcW w:w="3301" w:type="dxa"/>
            <w:gridSpan w:val="2"/>
          </w:tcPr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药剂防治</w:t>
            </w:r>
          </w:p>
        </w:tc>
        <w:tc>
          <w:tcPr>
            <w:tcW w:w="1914" w:type="dxa"/>
            <w:vMerge w:val="restart"/>
          </w:tcPr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其他防治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14" w:type="dxa"/>
            <w:vMerge w:val="continue"/>
          </w:tcPr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2441" w:type="dxa"/>
            <w:vMerge w:val="continue"/>
          </w:tcPr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800" w:type="dxa"/>
          </w:tcPr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使用浓度</w:t>
            </w:r>
          </w:p>
        </w:tc>
        <w:tc>
          <w:tcPr>
            <w:tcW w:w="1501" w:type="dxa"/>
          </w:tcPr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施用时期与方式</w:t>
            </w:r>
          </w:p>
        </w:tc>
        <w:tc>
          <w:tcPr>
            <w:tcW w:w="1914" w:type="dxa"/>
            <w:vMerge w:val="continue"/>
          </w:tcPr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14" w:type="dxa"/>
          </w:tcPr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鸟羽蛾</w:t>
            </w:r>
          </w:p>
        </w:tc>
        <w:tc>
          <w:tcPr>
            <w:tcW w:w="2441" w:type="dxa"/>
          </w:tcPr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80%敌敌畏乳油</w:t>
            </w:r>
          </w:p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20%氰戊菊酯乳油</w:t>
            </w:r>
          </w:p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5％鱼藤酮乳油</w:t>
            </w:r>
          </w:p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90%敌百虫晶体</w:t>
            </w:r>
          </w:p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 xml:space="preserve">B.t乳剂（含活芽孢100亿个） </w:t>
            </w:r>
          </w:p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800" w:type="dxa"/>
          </w:tcPr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1500-2 000 倍液</w:t>
            </w:r>
          </w:p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3000-4000 倍液</w:t>
            </w:r>
          </w:p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800-1 000 倍液</w:t>
            </w:r>
          </w:p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800-1 000 倍液</w:t>
            </w:r>
          </w:p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500-800 倍液</w:t>
            </w:r>
          </w:p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1000-1500 倍液</w:t>
            </w:r>
          </w:p>
        </w:tc>
        <w:tc>
          <w:tcPr>
            <w:tcW w:w="1501" w:type="dxa"/>
          </w:tcPr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在开花前、谢花期至幼果转蒂下垂喷药。</w:t>
            </w:r>
          </w:p>
        </w:tc>
        <w:tc>
          <w:tcPr>
            <w:tcW w:w="1914" w:type="dxa"/>
          </w:tcPr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冬季清园：</w:t>
            </w:r>
          </w:p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定期中耕除草。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14" w:type="dxa"/>
          </w:tcPr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卷叶蛾类</w:t>
            </w:r>
          </w:p>
        </w:tc>
        <w:tc>
          <w:tcPr>
            <w:tcW w:w="2441" w:type="dxa"/>
          </w:tcPr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 xml:space="preserve">B. t乳剂（含活芽孢100亿个） </w:t>
            </w:r>
          </w:p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90%敌百虫晶体</w:t>
            </w:r>
          </w:p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40%敌敌畏乳油</w:t>
            </w:r>
          </w:p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20％氰戊菊酯乳油</w:t>
            </w:r>
          </w:p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48％毒死</w:t>
            </w:r>
            <w:r>
              <w:rPr>
                <w:rFonts w:hint="eastAsia" w:ascii="Times New Roman"/>
                <w:sz w:val="18"/>
                <w:szCs w:val="18"/>
              </w:rPr>
              <w:t>蜱</w:t>
            </w:r>
            <w:r>
              <w:rPr>
                <w:rFonts w:ascii="Times New Roman"/>
                <w:sz w:val="18"/>
                <w:szCs w:val="18"/>
              </w:rPr>
              <w:t>乳油</w:t>
            </w:r>
          </w:p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10%吡虫啉可湿性粉剂</w:t>
            </w:r>
          </w:p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25％灭幼脲胶悬剂</w:t>
            </w:r>
          </w:p>
        </w:tc>
        <w:tc>
          <w:tcPr>
            <w:tcW w:w="1800" w:type="dxa"/>
          </w:tcPr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500 倍液</w:t>
            </w:r>
          </w:p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800-1000 倍液</w:t>
            </w:r>
          </w:p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800-1 000 倍液</w:t>
            </w:r>
          </w:p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2500-3 000 倍液</w:t>
            </w:r>
          </w:p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2000-3000 倍液</w:t>
            </w:r>
          </w:p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4000-6000 倍液</w:t>
            </w:r>
          </w:p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1000-2000 倍液</w:t>
            </w:r>
          </w:p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1501" w:type="dxa"/>
          </w:tcPr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约于7-9月，幼虫盛孵高峰期．喷雾。</w:t>
            </w:r>
          </w:p>
        </w:tc>
        <w:tc>
          <w:tcPr>
            <w:tcW w:w="1914" w:type="dxa"/>
          </w:tcPr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及时</w:t>
            </w:r>
            <w:r>
              <w:rPr>
                <w:rFonts w:hint="eastAsia" w:ascii="Times New Roman"/>
                <w:sz w:val="18"/>
                <w:szCs w:val="18"/>
              </w:rPr>
              <w:t>清除</w:t>
            </w:r>
            <w:r>
              <w:rPr>
                <w:rFonts w:ascii="Times New Roman"/>
                <w:sz w:val="18"/>
                <w:szCs w:val="18"/>
              </w:rPr>
              <w:t>地上落果、烂果，井深埋到50cm以上的土壤中：</w:t>
            </w:r>
          </w:p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从始蛾期开始用黑光灯诱杀成虫。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14" w:type="dxa"/>
          </w:tcPr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介壳虫类</w:t>
            </w:r>
          </w:p>
        </w:tc>
        <w:tc>
          <w:tcPr>
            <w:tcW w:w="2441" w:type="dxa"/>
          </w:tcPr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50%马拉硫磷乳油</w:t>
            </w:r>
          </w:p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20%吡虫啉乳油</w:t>
            </w:r>
          </w:p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50%胶体硫胶悬剂</w:t>
            </w:r>
          </w:p>
        </w:tc>
        <w:tc>
          <w:tcPr>
            <w:tcW w:w="1800" w:type="dxa"/>
          </w:tcPr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800 倍液</w:t>
            </w:r>
          </w:p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3000-5000 倍液</w:t>
            </w:r>
          </w:p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300 倍液</w:t>
            </w:r>
          </w:p>
        </w:tc>
        <w:tc>
          <w:tcPr>
            <w:tcW w:w="1501" w:type="dxa"/>
          </w:tcPr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春秋新梢抽生期喷雾</w:t>
            </w:r>
            <w:r>
              <w:rPr>
                <w:rFonts w:hint="eastAsia" w:ascii="Times New Roman"/>
                <w:sz w:val="18"/>
                <w:szCs w:val="18"/>
              </w:rPr>
              <w:t>。</w:t>
            </w:r>
          </w:p>
        </w:tc>
        <w:tc>
          <w:tcPr>
            <w:tcW w:w="1914" w:type="dxa"/>
          </w:tcPr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做好清园工作；果实套袋；释放天敌台湾小瓢虫或小毛瓢虫．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14" w:type="dxa"/>
            <w:vMerge w:val="restart"/>
          </w:tcPr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食蝇类</w:t>
            </w:r>
          </w:p>
        </w:tc>
        <w:tc>
          <w:tcPr>
            <w:tcW w:w="2441" w:type="dxa"/>
          </w:tcPr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90%敌百虫晶体</w:t>
            </w:r>
          </w:p>
        </w:tc>
        <w:tc>
          <w:tcPr>
            <w:tcW w:w="1800" w:type="dxa"/>
          </w:tcPr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800-1 000 倍液</w:t>
            </w:r>
          </w:p>
        </w:tc>
        <w:tc>
          <w:tcPr>
            <w:tcW w:w="1501" w:type="dxa"/>
          </w:tcPr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在成虫盛发期，喷洒树冠和树冠下表土。</w:t>
            </w:r>
          </w:p>
        </w:tc>
        <w:tc>
          <w:tcPr>
            <w:tcW w:w="1914" w:type="dxa"/>
            <w:vMerge w:val="restart"/>
          </w:tcPr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加强检疫；冬季清园，冬耕灭蛹；及早摘除被害果，集中深埋在50cm以下的上壤中，或烧毁；果实套袋；释放雄性不育果实蝇。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14" w:type="dxa"/>
            <w:vMerge w:val="continue"/>
          </w:tcPr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</w:p>
        </w:tc>
        <w:tc>
          <w:tcPr>
            <w:tcW w:w="2441" w:type="dxa"/>
          </w:tcPr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50%辛硫磷乳油</w:t>
            </w:r>
          </w:p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25%喹硫磷乳油</w:t>
            </w:r>
          </w:p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50%倍硫磷乳油</w:t>
            </w:r>
          </w:p>
        </w:tc>
        <w:tc>
          <w:tcPr>
            <w:tcW w:w="1800" w:type="dxa"/>
          </w:tcPr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1000-1500 倍液</w:t>
            </w:r>
          </w:p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500-750 倍液</w:t>
            </w:r>
          </w:p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1000-2000 倍液</w:t>
            </w:r>
          </w:p>
        </w:tc>
        <w:tc>
          <w:tcPr>
            <w:tcW w:w="1501" w:type="dxa"/>
          </w:tcPr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成虫盛发期前2d-3d 喷雾树冠下表上</w:t>
            </w:r>
            <w:r>
              <w:rPr>
                <w:rFonts w:hint="eastAsia" w:ascii="Times New Roman"/>
                <w:sz w:val="18"/>
                <w:szCs w:val="18"/>
              </w:rPr>
              <w:t>。</w:t>
            </w:r>
          </w:p>
        </w:tc>
        <w:tc>
          <w:tcPr>
            <w:tcW w:w="1914" w:type="dxa"/>
            <w:vMerge w:val="continue"/>
          </w:tcPr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14" w:type="dxa"/>
          </w:tcPr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红蜘蛛</w:t>
            </w:r>
          </w:p>
        </w:tc>
        <w:tc>
          <w:tcPr>
            <w:tcW w:w="2441" w:type="dxa"/>
          </w:tcPr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1.8%阿维菊素乳油</w:t>
            </w:r>
          </w:p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10%浏阳霉素乳油</w:t>
            </w:r>
          </w:p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0.2%苦参碱乳油</w:t>
            </w:r>
          </w:p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73%克螨特乳油</w:t>
            </w:r>
          </w:p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5%速螨酮乳油</w:t>
            </w:r>
          </w:p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5%噻螨酮乳油</w:t>
            </w:r>
          </w:p>
        </w:tc>
        <w:tc>
          <w:tcPr>
            <w:tcW w:w="1800" w:type="dxa"/>
          </w:tcPr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4000-6000 倍液</w:t>
            </w:r>
          </w:p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1000-2000 倍液</w:t>
            </w:r>
          </w:p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200-300 倍液</w:t>
            </w:r>
          </w:p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2000-3 000 倍液</w:t>
            </w:r>
          </w:p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1500-2000 倍液</w:t>
            </w:r>
          </w:p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1000-2000 倍液</w:t>
            </w:r>
          </w:p>
        </w:tc>
        <w:tc>
          <w:tcPr>
            <w:tcW w:w="1501" w:type="dxa"/>
          </w:tcPr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叶片出现为害状，叶片上有活虫口时喷药防治。</w:t>
            </w:r>
          </w:p>
        </w:tc>
        <w:tc>
          <w:tcPr>
            <w:tcW w:w="1914" w:type="dxa"/>
          </w:tcPr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加强管理，增施有机肥：冬季清园；</w:t>
            </w:r>
          </w:p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保护利用天敌拟小食螨瓢虫。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14" w:type="dxa"/>
          </w:tcPr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丽绿刺蛾</w:t>
            </w:r>
          </w:p>
        </w:tc>
        <w:tc>
          <w:tcPr>
            <w:tcW w:w="2441" w:type="dxa"/>
          </w:tcPr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25％灭幼脲胶悬剂</w:t>
            </w:r>
          </w:p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90%敌百虫晶体</w:t>
            </w:r>
          </w:p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80%敌敌畏乳油</w:t>
            </w:r>
          </w:p>
        </w:tc>
        <w:tc>
          <w:tcPr>
            <w:tcW w:w="1800" w:type="dxa"/>
          </w:tcPr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1500-2000 倍液</w:t>
            </w:r>
          </w:p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800-1000 倍液</w:t>
            </w:r>
          </w:p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1500-2000 倍液</w:t>
            </w:r>
          </w:p>
        </w:tc>
        <w:tc>
          <w:tcPr>
            <w:tcW w:w="1501" w:type="dxa"/>
          </w:tcPr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主要在幼虫期喷雾。</w:t>
            </w:r>
          </w:p>
        </w:tc>
        <w:tc>
          <w:tcPr>
            <w:tcW w:w="1914" w:type="dxa"/>
          </w:tcPr>
          <w:p>
            <w:pPr>
              <w:pStyle w:val="23"/>
              <w:ind w:firstLine="0" w:firstLineChars="0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人工摘除虫茧。</w:t>
            </w:r>
          </w:p>
        </w:tc>
      </w:tr>
    </w:tbl>
    <w:p>
      <w:pPr>
        <w:pStyle w:val="23"/>
        <w:ind w:firstLine="0" w:firstLineChars="0"/>
        <w:rPr>
          <w:rFonts w:ascii="Times New Roman"/>
        </w:rPr>
        <w:sectPr>
          <w:pgSz w:w="11906" w:h="16838"/>
          <w:pgMar w:top="567" w:right="1134" w:bottom="1134" w:left="1418" w:header="1418" w:footer="1134" w:gutter="0"/>
          <w:pgNumType w:start="1"/>
          <w:cols w:space="720" w:num="1"/>
          <w:formProt w:val="0"/>
          <w:docGrid w:type="lines" w:linePitch="312" w:charSpace="0"/>
        </w:sectPr>
      </w:pPr>
    </w:p>
    <w:p>
      <w:pPr>
        <w:pStyle w:val="23"/>
        <w:ind w:firstLine="0" w:firstLineChars="0"/>
        <w:rPr>
          <w:rFonts w:ascii="Times New Roman"/>
        </w:rPr>
      </w:pPr>
    </w:p>
    <w:sectPr>
      <w:pgSz w:w="11906" w:h="16838"/>
      <w:pgMar w:top="567" w:right="1134" w:bottom="1134" w:left="1418" w:header="1418" w:footer="1134" w:gutter="0"/>
      <w:pgNumType w:start="1"/>
      <w:cols w:space="720" w:num="1"/>
      <w:formProt w:val="0"/>
      <w:docGrid w:type="lines" w:linePitch="312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8"/>
    </w:pPr>
    <w:r>
      <w:fldChar w:fldCharType="begin"/>
    </w:r>
    <w:r>
      <w:instrText xml:space="preserve"> PAGE  \* MERGEFORMAT </w:instrText>
    </w:r>
    <w:r>
      <w:fldChar w:fldCharType="separate"/>
    </w:r>
    <w:r>
      <w:t>2</w:t>
    </w:r>
    <w: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6"/>
      <w:rPr>
        <w:rFonts w:hAnsi="黑体" w:cs="黑体"/>
      </w:rPr>
    </w:pPr>
    <w:r>
      <w:rPr>
        <w:rFonts w:hint="eastAsia" w:hAnsi="黑体" w:cs="黑体"/>
      </w:rPr>
      <w:t>DB 44/T XXXXX—XXXX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79102AD"/>
    <w:multiLevelType w:val="multilevel"/>
    <w:tmpl w:val="079102AD"/>
    <w:lvl w:ilvl="0" w:tentative="0">
      <w:start w:val="1"/>
      <w:numFmt w:val="decimal"/>
      <w:pStyle w:val="81"/>
      <w:suff w:val="nothing"/>
      <w:lvlText w:val="注%1："/>
      <w:lvlJc w:val="left"/>
      <w:pPr>
        <w:ind w:left="811" w:hanging="448"/>
      </w:pPr>
      <w:rPr>
        <w:rFonts w:hint="eastAsia" w:ascii="黑体" w:eastAsia="黑体"/>
        <w:b w:val="0"/>
        <w:i w:val="0"/>
        <w:sz w:val="18"/>
        <w:lang w:val="en-US"/>
      </w:rPr>
    </w:lvl>
    <w:lvl w:ilvl="1" w:tentative="0">
      <w:start w:val="1"/>
      <w:numFmt w:val="lowerLetter"/>
      <w:lvlText w:val="%2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</w:rPr>
    </w:lvl>
  </w:abstractNum>
  <w:abstractNum w:abstractNumId="1">
    <w:nsid w:val="093C6778"/>
    <w:multiLevelType w:val="multilevel"/>
    <w:tmpl w:val="093C6778"/>
    <w:lvl w:ilvl="0" w:tentative="0">
      <w:start w:val="1"/>
      <w:numFmt w:val="decimal"/>
      <w:pStyle w:val="41"/>
      <w:suff w:val="nothing"/>
      <w:lvlText w:val="示例%1："/>
      <w:lvlJc w:val="left"/>
      <w:pPr>
        <w:ind w:left="0" w:firstLine="397"/>
      </w:pPr>
      <w:rPr>
        <w:rFonts w:hint="eastAsia" w:ascii="黑体" w:eastAsia="黑体"/>
        <w:sz w:val="18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2">
    <w:nsid w:val="0AE367E9"/>
    <w:multiLevelType w:val="multilevel"/>
    <w:tmpl w:val="0AE367E9"/>
    <w:lvl w:ilvl="0" w:tentative="0">
      <w:start w:val="1"/>
      <w:numFmt w:val="none"/>
      <w:pStyle w:val="79"/>
      <w:suff w:val="nothing"/>
      <w:lvlText w:val="%1示例："/>
      <w:lvlJc w:val="left"/>
      <w:pPr>
        <w:ind w:left="0" w:firstLine="363"/>
      </w:pPr>
      <w:rPr>
        <w:rFonts w:hint="eastAsia" w:ascii="黑体" w:eastAsia="黑体"/>
        <w:b w:val="0"/>
        <w:i w:val="0"/>
        <w:sz w:val="18"/>
        <w:szCs w:val="18"/>
      </w:rPr>
    </w:lvl>
    <w:lvl w:ilvl="1" w:tentative="0">
      <w:start w:val="1"/>
      <w:numFmt w:val="lowerLetter"/>
      <w:lvlText w:val="%2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363"/>
        </w:tabs>
        <w:ind w:left="0" w:firstLine="363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363"/>
        </w:tabs>
        <w:ind w:left="0" w:firstLine="363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63"/>
        </w:tabs>
        <w:ind w:left="0" w:firstLine="363"/>
      </w:pPr>
      <w:rPr>
        <w:rFonts w:hint="eastAsia"/>
      </w:rPr>
    </w:lvl>
  </w:abstractNum>
  <w:abstractNum w:abstractNumId="3">
    <w:nsid w:val="0DDE2B46"/>
    <w:multiLevelType w:val="multilevel"/>
    <w:tmpl w:val="0DDE2B46"/>
    <w:lvl w:ilvl="0" w:tentative="0">
      <w:start w:val="1"/>
      <w:numFmt w:val="lowerLetter"/>
      <w:pStyle w:val="126"/>
      <w:suff w:val="nothing"/>
      <w:lvlText w:val="%1   "/>
      <w:lvlJc w:val="left"/>
      <w:pPr>
        <w:ind w:left="544" w:hanging="181"/>
      </w:pPr>
      <w:rPr>
        <w:rFonts w:hint="eastAsia" w:ascii="宋体" w:eastAsia="宋体"/>
        <w:b w:val="0"/>
        <w:i w:val="0"/>
        <w:sz w:val="18"/>
        <w:vertAlign w:val="superscript"/>
      </w:rPr>
    </w:lvl>
    <w:lvl w:ilvl="1" w:tentative="0">
      <w:start w:val="1"/>
      <w:numFmt w:val="lowerLetter"/>
      <w:lvlText w:val="%2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57"/>
        </w:tabs>
        <w:ind w:left="363" w:hanging="363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57"/>
        </w:tabs>
        <w:ind w:left="363" w:hanging="363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57"/>
        </w:tabs>
        <w:ind w:left="363" w:hanging="363"/>
      </w:pPr>
      <w:rPr>
        <w:rFonts w:hint="eastAsia"/>
      </w:rPr>
    </w:lvl>
  </w:abstractNum>
  <w:abstractNum w:abstractNumId="4">
    <w:nsid w:val="1DBF583A"/>
    <w:multiLevelType w:val="multilevel"/>
    <w:tmpl w:val="1DBF583A"/>
    <w:lvl w:ilvl="0" w:tentative="0">
      <w:start w:val="1"/>
      <w:numFmt w:val="decimal"/>
      <w:pStyle w:val="85"/>
      <w:suff w:val="nothing"/>
      <w:lvlText w:val="注%1："/>
      <w:lvlJc w:val="left"/>
      <w:pPr>
        <w:ind w:left="811" w:hanging="448"/>
      </w:pPr>
      <w:rPr>
        <w:rFonts w:hint="eastAsia" w:ascii="黑体" w:eastAsia="黑体"/>
        <w:b w:val="0"/>
        <w:i w:val="0"/>
        <w:sz w:val="18"/>
        <w:szCs w:val="18"/>
        <w:vertAlign w:val="baseline"/>
      </w:rPr>
    </w:lvl>
    <w:lvl w:ilvl="1" w:tentative="0">
      <w:start w:val="1"/>
      <w:numFmt w:val="lowerLetter"/>
      <w:lvlText w:val="%2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2" w:tentative="0">
      <w:start w:val="1"/>
      <w:numFmt w:val="lowerRoman"/>
      <w:lvlText w:val="%3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3" w:tentative="0">
      <w:start w:val="1"/>
      <w:numFmt w:val="decimal"/>
      <w:lvlText w:val="%4.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4" w:tentative="0">
      <w:start w:val="1"/>
      <w:numFmt w:val="lowerLetter"/>
      <w:lvlText w:val="%5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5" w:tentative="0">
      <w:start w:val="1"/>
      <w:numFmt w:val="lowerRoman"/>
      <w:lvlText w:val="%6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6" w:tentative="0">
      <w:start w:val="1"/>
      <w:numFmt w:val="decimal"/>
      <w:lvlText w:val="%7.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7" w:tentative="0">
      <w:start w:val="1"/>
      <w:numFmt w:val="lowerLetter"/>
      <w:lvlText w:val="%8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8" w:tentative="0">
      <w:start w:val="1"/>
      <w:numFmt w:val="lowerRoman"/>
      <w:lvlText w:val="%9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</w:abstractNum>
  <w:abstractNum w:abstractNumId="5">
    <w:nsid w:val="1FC91163"/>
    <w:multiLevelType w:val="multilevel"/>
    <w:tmpl w:val="1FC91163"/>
    <w:lvl w:ilvl="0" w:tentative="0">
      <w:start w:val="1"/>
      <w:numFmt w:val="decimal"/>
      <w:pStyle w:val="103"/>
      <w:suff w:val="nothing"/>
      <w:lvlText w:val="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  <w:szCs w:val="21"/>
      </w:rPr>
    </w:lvl>
    <w:lvl w:ilvl="1" w:tentative="0">
      <w:start w:val="1"/>
      <w:numFmt w:val="decimal"/>
      <w:pStyle w:val="65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1"/>
        <w:szCs w:val="21"/>
        <w:u w:val="none"/>
        <w:vertAlign w:val="baseline"/>
      </w:rPr>
    </w:lvl>
    <w:lvl w:ilvl="2" w:tentative="0">
      <w:start w:val="1"/>
      <w:numFmt w:val="decimal"/>
      <w:pStyle w:val="64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63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pStyle w:val="62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pStyle w:val="61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6">
    <w:nsid w:val="2A8F7113"/>
    <w:multiLevelType w:val="multilevel"/>
    <w:tmpl w:val="2A8F7113"/>
    <w:lvl w:ilvl="0" w:tentative="0">
      <w:start w:val="1"/>
      <w:numFmt w:val="upperLetter"/>
      <w:pStyle w:val="110"/>
      <w:suff w:val="space"/>
      <w:lvlText w:val="%1"/>
      <w:lvlJc w:val="left"/>
      <w:pPr>
        <w:ind w:left="623" w:hanging="425"/>
      </w:pPr>
      <w:rPr>
        <w:rFonts w:hint="eastAsia"/>
      </w:rPr>
    </w:lvl>
    <w:lvl w:ilvl="1" w:tentative="0">
      <w:start w:val="1"/>
      <w:numFmt w:val="decimal"/>
      <w:pStyle w:val="46"/>
      <w:suff w:val="nothing"/>
      <w:lvlText w:val="图%1.%2　"/>
      <w:lvlJc w:val="left"/>
      <w:pPr>
        <w:ind w:left="1190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1616"/>
        </w:tabs>
        <w:ind w:left="1616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2914"/>
        </w:tabs>
        <w:ind w:left="2182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699"/>
        </w:tabs>
        <w:ind w:left="2749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4484"/>
        </w:tabs>
        <w:ind w:left="345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5269"/>
        </w:tabs>
        <w:ind w:left="402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6054"/>
        </w:tabs>
        <w:ind w:left="459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840"/>
        </w:tabs>
        <w:ind w:left="5300" w:hanging="1700"/>
      </w:pPr>
      <w:rPr>
        <w:rFonts w:hint="eastAsia"/>
      </w:rPr>
    </w:lvl>
  </w:abstractNum>
  <w:abstractNum w:abstractNumId="7">
    <w:nsid w:val="2C5917C3"/>
    <w:multiLevelType w:val="multilevel"/>
    <w:tmpl w:val="2C5917C3"/>
    <w:lvl w:ilvl="0" w:tentative="0">
      <w:start w:val="1"/>
      <w:numFmt w:val="none"/>
      <w:pStyle w:val="59"/>
      <w:suff w:val="nothing"/>
      <w:lvlText w:val="%1——"/>
      <w:lvlJc w:val="left"/>
      <w:pPr>
        <w:ind w:left="833" w:hanging="408"/>
      </w:pPr>
      <w:rPr>
        <w:rFonts w:hint="eastAsia"/>
      </w:rPr>
    </w:lvl>
    <w:lvl w:ilvl="1" w:tentative="0">
      <w:start w:val="1"/>
      <w:numFmt w:val="bullet"/>
      <w:pStyle w:val="58"/>
      <w:lvlText w:val=""/>
      <w:lvlJc w:val="left"/>
      <w:pPr>
        <w:tabs>
          <w:tab w:val="left" w:pos="760"/>
        </w:tabs>
        <w:ind w:left="1264" w:hanging="413"/>
      </w:pPr>
      <w:rPr>
        <w:rFonts w:hint="default" w:ascii="Symbol" w:hAnsi="Symbol"/>
        <w:color w:val="auto"/>
      </w:rPr>
    </w:lvl>
    <w:lvl w:ilvl="2" w:tentative="0">
      <w:start w:val="1"/>
      <w:numFmt w:val="bullet"/>
      <w:pStyle w:val="124"/>
      <w:lvlText w:val=""/>
      <w:lvlJc w:val="left"/>
      <w:pPr>
        <w:tabs>
          <w:tab w:val="left" w:pos="1678"/>
        </w:tabs>
        <w:ind w:left="1678" w:hanging="414"/>
      </w:pPr>
      <w:rPr>
        <w:rFonts w:hint="default" w:ascii="Symbol" w:hAnsi="Symbol"/>
        <w:color w:val="auto"/>
      </w:rPr>
    </w:lvl>
    <w:lvl w:ilvl="3" w:tentative="0">
      <w:start w:val="1"/>
      <w:numFmt w:val="decimal"/>
      <w:lvlText w:val="%4."/>
      <w:lvlJc w:val="left"/>
      <w:pPr>
        <w:tabs>
          <w:tab w:val="left" w:pos="2071"/>
        </w:tabs>
        <w:ind w:left="1884" w:hanging="528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383"/>
        </w:tabs>
        <w:ind w:left="2196" w:hanging="528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695"/>
        </w:tabs>
        <w:ind w:left="2508" w:hanging="528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007"/>
        </w:tabs>
        <w:ind w:left="2820" w:hanging="528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319"/>
        </w:tabs>
        <w:ind w:left="3132" w:hanging="528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631"/>
        </w:tabs>
        <w:ind w:left="3444" w:hanging="528"/>
      </w:pPr>
      <w:rPr>
        <w:rFonts w:hint="eastAsia"/>
      </w:rPr>
    </w:lvl>
  </w:abstractNum>
  <w:abstractNum w:abstractNumId="8">
    <w:nsid w:val="3D733618"/>
    <w:multiLevelType w:val="multilevel"/>
    <w:tmpl w:val="3D733618"/>
    <w:lvl w:ilvl="0" w:tentative="0">
      <w:start w:val="1"/>
      <w:numFmt w:val="decimal"/>
      <w:pStyle w:val="24"/>
      <w:lvlText w:val="%1)"/>
      <w:lvlJc w:val="left"/>
      <w:pPr>
        <w:tabs>
          <w:tab w:val="left" w:pos="0"/>
        </w:tabs>
        <w:ind w:left="720" w:hanging="357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504"/>
        </w:tabs>
        <w:ind w:left="544" w:hanging="544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532"/>
        </w:tabs>
        <w:ind w:left="544" w:hanging="544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560"/>
        </w:tabs>
        <w:ind w:left="544" w:hanging="544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588"/>
        </w:tabs>
        <w:ind w:left="544" w:hanging="544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616"/>
        </w:tabs>
        <w:ind w:left="544" w:hanging="544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644"/>
        </w:tabs>
        <w:ind w:left="544" w:hanging="544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672"/>
        </w:tabs>
        <w:ind w:left="544" w:hanging="544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700"/>
        </w:tabs>
        <w:ind w:left="544" w:hanging="544"/>
      </w:pPr>
      <w:rPr>
        <w:rFonts w:hint="eastAsia"/>
      </w:rPr>
    </w:lvl>
  </w:abstractNum>
  <w:abstractNum w:abstractNumId="9">
    <w:nsid w:val="44C50F90"/>
    <w:multiLevelType w:val="multilevel"/>
    <w:tmpl w:val="44C50F90"/>
    <w:lvl w:ilvl="0" w:tentative="0">
      <w:start w:val="1"/>
      <w:numFmt w:val="lowerLetter"/>
      <w:pStyle w:val="127"/>
      <w:lvlText w:val="%1)"/>
      <w:lvlJc w:val="left"/>
      <w:pPr>
        <w:tabs>
          <w:tab w:val="left" w:pos="840"/>
        </w:tabs>
        <w:ind w:left="839" w:hanging="419"/>
      </w:pPr>
      <w:rPr>
        <w:rFonts w:hint="eastAsia" w:ascii="宋体" w:eastAsia="宋体"/>
        <w:b w:val="0"/>
        <w:i w:val="0"/>
        <w:sz w:val="21"/>
        <w:szCs w:val="21"/>
      </w:rPr>
    </w:lvl>
    <w:lvl w:ilvl="1" w:tentative="0">
      <w:start w:val="1"/>
      <w:numFmt w:val="decimal"/>
      <w:pStyle w:val="119"/>
      <w:lvlText w:val="%2)"/>
      <w:lvlJc w:val="left"/>
      <w:pPr>
        <w:tabs>
          <w:tab w:val="left" w:pos="1260"/>
        </w:tabs>
        <w:ind w:left="1259" w:hanging="419"/>
      </w:pPr>
      <w:rPr>
        <w:rFonts w:hint="eastAsia"/>
      </w:rPr>
    </w:lvl>
    <w:lvl w:ilvl="2" w:tentative="0">
      <w:start w:val="1"/>
      <w:numFmt w:val="decimal"/>
      <w:pStyle w:val="125"/>
      <w:lvlText w:val="(%3)"/>
      <w:lvlJc w:val="left"/>
      <w:pPr>
        <w:tabs>
          <w:tab w:val="left" w:pos="0"/>
        </w:tabs>
        <w:ind w:left="1679" w:hanging="420"/>
      </w:pPr>
      <w:rPr>
        <w:rFonts w:hint="eastAsia" w:ascii="宋体" w:eastAsia="宋体"/>
        <w:b w:val="0"/>
        <w:i w:val="0"/>
        <w:sz w:val="21"/>
        <w:szCs w:val="21"/>
      </w:r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519" w:hanging="41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2939" w:hanging="41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3779" w:hanging="41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199" w:hanging="419"/>
      </w:pPr>
      <w:rPr>
        <w:rFonts w:hint="eastAsia"/>
      </w:rPr>
    </w:lvl>
  </w:abstractNum>
  <w:abstractNum w:abstractNumId="10">
    <w:nsid w:val="4B733A5F"/>
    <w:multiLevelType w:val="multilevel"/>
    <w:tmpl w:val="4B733A5F"/>
    <w:lvl w:ilvl="0" w:tentative="0">
      <w:start w:val="1"/>
      <w:numFmt w:val="decimal"/>
      <w:pStyle w:val="102"/>
      <w:suff w:val="nothing"/>
      <w:lvlText w:val="示例%1："/>
      <w:lvlJc w:val="left"/>
      <w:pPr>
        <w:ind w:left="0" w:firstLine="363"/>
      </w:pPr>
      <w:rPr>
        <w:rFonts w:hint="eastAsia" w:ascii="黑体" w:hAnsi="Times New Roman" w:eastAsia="黑体"/>
        <w:b w:val="0"/>
        <w:i w:val="0"/>
        <w:sz w:val="18"/>
        <w:szCs w:val="18"/>
        <w:vertAlign w:val="baseline"/>
      </w:rPr>
    </w:lvl>
    <w:lvl w:ilvl="1" w:tentative="0">
      <w:start w:val="1"/>
      <w:numFmt w:val="none"/>
      <w:suff w:val="space"/>
      <w:lvlText w:val=""/>
      <w:lvlJc w:val="left"/>
      <w:pPr>
        <w:ind w:left="0" w:firstLine="0"/>
      </w:pPr>
      <w:rPr>
        <w:rFonts w:hint="eastAsia"/>
        <w:vertAlign w:val="baseline"/>
      </w:rPr>
    </w:lvl>
    <w:lvl w:ilvl="2" w:tentative="0">
      <w:start w:val="1"/>
      <w:numFmt w:val="decimal"/>
      <w:suff w:val="space"/>
      <w:lvlText w:val="2.2.%3"/>
      <w:lvlJc w:val="left"/>
      <w:pPr>
        <w:ind w:left="0" w:firstLine="0"/>
      </w:pPr>
      <w:rPr>
        <w:rFonts w:hint="eastAsia"/>
        <w:vertAlign w:val="baseline"/>
      </w:r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4" w:tentative="0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7" w:tentative="0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  <w:vertAlign w:val="baseline"/>
      </w:rPr>
    </w:lvl>
  </w:abstractNum>
  <w:abstractNum w:abstractNumId="11">
    <w:nsid w:val="557C2AF5"/>
    <w:multiLevelType w:val="multilevel"/>
    <w:tmpl w:val="557C2AF5"/>
    <w:lvl w:ilvl="0" w:tentative="0">
      <w:start w:val="1"/>
      <w:numFmt w:val="decimal"/>
      <w:pStyle w:val="80"/>
      <w:suff w:val="nothing"/>
      <w:lvlText w:val="图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1" w:tentative="0">
      <w:start w:val="1"/>
      <w:numFmt w:val="decimal"/>
      <w:suff w:val="nothing"/>
      <w:lvlText w:val="%1%2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2" w:tentative="0">
      <w:start w:val="1"/>
      <w:numFmt w:val="decimal"/>
      <w:suff w:val="nothing"/>
      <w:lvlText w:val="%1%2.%3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3" w:tentative="0">
      <w:start w:val="1"/>
      <w:numFmt w:val="decimal"/>
      <w:suff w:val="nothing"/>
      <w:lvlText w:val="%1%2.%3.%4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%2.%3.%4.%5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2">
    <w:nsid w:val="60B55DC2"/>
    <w:multiLevelType w:val="multilevel"/>
    <w:tmpl w:val="60B55DC2"/>
    <w:lvl w:ilvl="0" w:tentative="0">
      <w:start w:val="1"/>
      <w:numFmt w:val="upperLetter"/>
      <w:pStyle w:val="67"/>
      <w:lvlText w:val="%1"/>
      <w:lvlJc w:val="left"/>
      <w:pPr>
        <w:tabs>
          <w:tab w:val="left" w:pos="0"/>
        </w:tabs>
        <w:ind w:left="0" w:hanging="425"/>
      </w:pPr>
      <w:rPr>
        <w:rFonts w:hint="eastAsia"/>
      </w:rPr>
    </w:lvl>
    <w:lvl w:ilvl="1" w:tentative="0">
      <w:start w:val="1"/>
      <w:numFmt w:val="decimal"/>
      <w:pStyle w:val="92"/>
      <w:suff w:val="nothing"/>
      <w:lvlText w:val="表%1.%2　"/>
      <w:lvlJc w:val="left"/>
      <w:pPr>
        <w:ind w:left="567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993"/>
        </w:tabs>
        <w:ind w:left="993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2291"/>
        </w:tabs>
        <w:ind w:left="1559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076"/>
        </w:tabs>
        <w:ind w:left="2126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3861"/>
        </w:tabs>
        <w:ind w:left="2835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4646"/>
        </w:tabs>
        <w:ind w:left="3402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543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217"/>
        </w:tabs>
        <w:ind w:left="4677" w:hanging="1700"/>
      </w:pPr>
      <w:rPr>
        <w:rFonts w:hint="eastAsia"/>
      </w:rPr>
    </w:lvl>
  </w:abstractNum>
  <w:abstractNum w:abstractNumId="13">
    <w:nsid w:val="646260FA"/>
    <w:multiLevelType w:val="multilevel"/>
    <w:tmpl w:val="646260FA"/>
    <w:lvl w:ilvl="0" w:tentative="0">
      <w:start w:val="1"/>
      <w:numFmt w:val="decimal"/>
      <w:pStyle w:val="87"/>
      <w:suff w:val="nothing"/>
      <w:lvlText w:val="表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1" w:tentative="0">
      <w:start w:val="1"/>
      <w:numFmt w:val="decimal"/>
      <w:lvlText w:val="%1.%2"/>
      <w:lvlJc w:val="left"/>
      <w:pPr>
        <w:tabs>
          <w:tab w:val="left" w:pos="992"/>
        </w:tabs>
        <w:ind w:left="992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1418"/>
        </w:tabs>
        <w:ind w:left="1418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1984"/>
        </w:tabs>
        <w:ind w:left="1984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2551"/>
        </w:tabs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3260"/>
        </w:tabs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3827"/>
        </w:tabs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14">
    <w:nsid w:val="657D3FBC"/>
    <w:multiLevelType w:val="multilevel"/>
    <w:tmpl w:val="657D3FBC"/>
    <w:lvl w:ilvl="0" w:tentative="0">
      <w:start w:val="1"/>
      <w:numFmt w:val="upperLetter"/>
      <w:pStyle w:val="123"/>
      <w:suff w:val="nothing"/>
      <w:lvlText w:val="附　录　%1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pacing w:val="0"/>
        <w:w w:val="100"/>
        <w:sz w:val="21"/>
      </w:rPr>
    </w:lvl>
    <w:lvl w:ilvl="1" w:tentative="0">
      <w:start w:val="1"/>
      <w:numFmt w:val="decimal"/>
      <w:pStyle w:val="76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napToGrid/>
        <w:spacing w:val="0"/>
        <w:w w:val="100"/>
        <w:kern w:val="21"/>
        <w:sz w:val="21"/>
      </w:rPr>
    </w:lvl>
    <w:lvl w:ilvl="2" w:tentative="0">
      <w:start w:val="1"/>
      <w:numFmt w:val="decimal"/>
      <w:pStyle w:val="75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45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pStyle w:val="44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pStyle w:val="98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pStyle w:val="97"/>
      <w:suff w:val="nothing"/>
      <w:lvlText w:val="%1.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15">
    <w:nsid w:val="6D6C07CD"/>
    <w:multiLevelType w:val="multilevel"/>
    <w:tmpl w:val="6D6C07CD"/>
    <w:lvl w:ilvl="0" w:tentative="0">
      <w:start w:val="1"/>
      <w:numFmt w:val="lowerLetter"/>
      <w:pStyle w:val="114"/>
      <w:lvlText w:val="%1)"/>
      <w:lvlJc w:val="left"/>
      <w:pPr>
        <w:tabs>
          <w:tab w:val="left" w:pos="839"/>
        </w:tabs>
        <w:ind w:left="839" w:hanging="419"/>
      </w:pPr>
      <w:rPr>
        <w:rFonts w:hint="eastAsia" w:ascii="宋体" w:eastAsia="宋体"/>
        <w:b w:val="0"/>
        <w:i w:val="0"/>
        <w:sz w:val="21"/>
      </w:rPr>
    </w:lvl>
    <w:lvl w:ilvl="1" w:tentative="0">
      <w:start w:val="1"/>
      <w:numFmt w:val="decimal"/>
      <w:pStyle w:val="68"/>
      <w:lvlText w:val="%2)"/>
      <w:lvlJc w:val="left"/>
      <w:pPr>
        <w:tabs>
          <w:tab w:val="left" w:pos="840"/>
        </w:tabs>
        <w:ind w:left="839" w:hanging="419"/>
      </w:pPr>
      <w:rPr>
        <w:rFonts w:hint="eastAsia" w:ascii="宋体" w:eastAsia="宋体"/>
        <w:b w:val="0"/>
        <w:i w:val="0"/>
        <w:sz w:val="21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59" w:hanging="419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79" w:hanging="41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19" w:hanging="41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39" w:hanging="41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79" w:hanging="419"/>
      </w:pPr>
      <w:rPr>
        <w:rFonts w:hint="eastAsia"/>
      </w:rPr>
    </w:lvl>
  </w:abstractNum>
  <w:abstractNum w:abstractNumId="16">
    <w:nsid w:val="6DBF04F4"/>
    <w:multiLevelType w:val="multilevel"/>
    <w:tmpl w:val="6DBF04F4"/>
    <w:lvl w:ilvl="0" w:tentative="0">
      <w:start w:val="1"/>
      <w:numFmt w:val="none"/>
      <w:pStyle w:val="70"/>
      <w:suff w:val="nothing"/>
      <w:lvlText w:val="%1注："/>
      <w:lvlJc w:val="left"/>
      <w:pPr>
        <w:ind w:left="726" w:hanging="363"/>
      </w:pPr>
      <w:rPr>
        <w:rFonts w:hint="eastAsia" w:ascii="黑体" w:hAnsi="Times New Roman" w:eastAsia="黑体"/>
        <w:b w:val="0"/>
        <w:i w:val="0"/>
        <w:sz w:val="18"/>
      </w:rPr>
    </w:lvl>
    <w:lvl w:ilvl="1" w:tentative="0">
      <w:start w:val="1"/>
      <w:numFmt w:val="lowerLetter"/>
      <w:lvlText w:val="%2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1140"/>
        </w:tabs>
        <w:ind w:left="726" w:hanging="363"/>
      </w:pPr>
      <w:rPr>
        <w:rFonts w:hint="eastAsia"/>
      </w:rPr>
    </w:lvl>
  </w:abstractNum>
  <w:num w:numId="1">
    <w:abstractNumId w:val="8"/>
  </w:num>
  <w:num w:numId="2">
    <w:abstractNumId w:val="1"/>
  </w:num>
  <w:num w:numId="3">
    <w:abstractNumId w:val="14"/>
  </w:num>
  <w:num w:numId="4">
    <w:abstractNumId w:val="6"/>
  </w:num>
  <w:num w:numId="5">
    <w:abstractNumId w:val="7"/>
  </w:num>
  <w:num w:numId="6">
    <w:abstractNumId w:val="5"/>
  </w:num>
  <w:num w:numId="7">
    <w:abstractNumId w:val="12"/>
  </w:num>
  <w:num w:numId="8">
    <w:abstractNumId w:val="15"/>
  </w:num>
  <w:num w:numId="9">
    <w:abstractNumId w:val="16"/>
  </w:num>
  <w:num w:numId="10">
    <w:abstractNumId w:val="2"/>
  </w:num>
  <w:num w:numId="11">
    <w:abstractNumId w:val="11"/>
  </w:num>
  <w:num w:numId="12">
    <w:abstractNumId w:val="0"/>
  </w:num>
  <w:num w:numId="13">
    <w:abstractNumId w:val="4"/>
  </w:num>
  <w:num w:numId="14">
    <w:abstractNumId w:val="13"/>
  </w:num>
  <w:num w:numId="15">
    <w:abstractNumId w:val="10"/>
  </w:num>
  <w:num w:numId="16">
    <w:abstractNumId w:val="9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NiYThiMWM5NDZmNDE5YmRiOWRlMDBhOWU1M2UwOWYifQ=="/>
    <w:docVar w:name="KSO_WPS_MARK_KEY" w:val="40475888-1560-4e2b-adca-b9ecdbb46d9a"/>
  </w:docVars>
  <w:rsids>
    <w:rsidRoot w:val="00035925"/>
    <w:rsid w:val="00000244"/>
    <w:rsid w:val="0000185F"/>
    <w:rsid w:val="0000586F"/>
    <w:rsid w:val="00013D86"/>
    <w:rsid w:val="00013E02"/>
    <w:rsid w:val="0002143C"/>
    <w:rsid w:val="00025A65"/>
    <w:rsid w:val="00026C31"/>
    <w:rsid w:val="00027280"/>
    <w:rsid w:val="000320A7"/>
    <w:rsid w:val="00035925"/>
    <w:rsid w:val="00046251"/>
    <w:rsid w:val="00067CDF"/>
    <w:rsid w:val="00074FBE"/>
    <w:rsid w:val="00083A09"/>
    <w:rsid w:val="0009005E"/>
    <w:rsid w:val="00092857"/>
    <w:rsid w:val="000A20A9"/>
    <w:rsid w:val="000A48B1"/>
    <w:rsid w:val="000B3143"/>
    <w:rsid w:val="000C6B05"/>
    <w:rsid w:val="000C6DD6"/>
    <w:rsid w:val="000C73D4"/>
    <w:rsid w:val="000D3D4C"/>
    <w:rsid w:val="000D4F51"/>
    <w:rsid w:val="000D718B"/>
    <w:rsid w:val="000E0C46"/>
    <w:rsid w:val="000E28EE"/>
    <w:rsid w:val="000F030C"/>
    <w:rsid w:val="000F129C"/>
    <w:rsid w:val="001056DE"/>
    <w:rsid w:val="001124C0"/>
    <w:rsid w:val="0013175F"/>
    <w:rsid w:val="001512B4"/>
    <w:rsid w:val="001620A5"/>
    <w:rsid w:val="00164E53"/>
    <w:rsid w:val="0016699D"/>
    <w:rsid w:val="00175159"/>
    <w:rsid w:val="00176208"/>
    <w:rsid w:val="0018211B"/>
    <w:rsid w:val="001840D3"/>
    <w:rsid w:val="001900F8"/>
    <w:rsid w:val="00191258"/>
    <w:rsid w:val="00192680"/>
    <w:rsid w:val="00193037"/>
    <w:rsid w:val="00193A2C"/>
    <w:rsid w:val="001A288E"/>
    <w:rsid w:val="001B6DC2"/>
    <w:rsid w:val="001C149C"/>
    <w:rsid w:val="001C21AC"/>
    <w:rsid w:val="001C47BA"/>
    <w:rsid w:val="001C59EA"/>
    <w:rsid w:val="001D406C"/>
    <w:rsid w:val="001D41EE"/>
    <w:rsid w:val="001D7480"/>
    <w:rsid w:val="001E0380"/>
    <w:rsid w:val="001E13B1"/>
    <w:rsid w:val="001F3A19"/>
    <w:rsid w:val="00234467"/>
    <w:rsid w:val="00237D8D"/>
    <w:rsid w:val="00241DA2"/>
    <w:rsid w:val="00247FEE"/>
    <w:rsid w:val="00250E7D"/>
    <w:rsid w:val="002565D5"/>
    <w:rsid w:val="002622C0"/>
    <w:rsid w:val="002778AE"/>
    <w:rsid w:val="0028269A"/>
    <w:rsid w:val="00283590"/>
    <w:rsid w:val="00286973"/>
    <w:rsid w:val="00294E70"/>
    <w:rsid w:val="002A1924"/>
    <w:rsid w:val="002A7420"/>
    <w:rsid w:val="002B0F12"/>
    <w:rsid w:val="002B1308"/>
    <w:rsid w:val="002B4554"/>
    <w:rsid w:val="002C72D8"/>
    <w:rsid w:val="002D11FA"/>
    <w:rsid w:val="002D2311"/>
    <w:rsid w:val="002E0DDF"/>
    <w:rsid w:val="002E2906"/>
    <w:rsid w:val="002E5635"/>
    <w:rsid w:val="002E64C3"/>
    <w:rsid w:val="002E6A2C"/>
    <w:rsid w:val="002F1D8C"/>
    <w:rsid w:val="002F21DA"/>
    <w:rsid w:val="00301F39"/>
    <w:rsid w:val="00325926"/>
    <w:rsid w:val="00327A8A"/>
    <w:rsid w:val="00336610"/>
    <w:rsid w:val="00343F73"/>
    <w:rsid w:val="00345060"/>
    <w:rsid w:val="0035323B"/>
    <w:rsid w:val="003609D2"/>
    <w:rsid w:val="00363F22"/>
    <w:rsid w:val="00375564"/>
    <w:rsid w:val="00383191"/>
    <w:rsid w:val="00386DED"/>
    <w:rsid w:val="003912E7"/>
    <w:rsid w:val="00393947"/>
    <w:rsid w:val="003A2275"/>
    <w:rsid w:val="003A6A4F"/>
    <w:rsid w:val="003A7088"/>
    <w:rsid w:val="003B00DF"/>
    <w:rsid w:val="003B1275"/>
    <w:rsid w:val="003B1778"/>
    <w:rsid w:val="003C11CB"/>
    <w:rsid w:val="003C75F3"/>
    <w:rsid w:val="003C78A3"/>
    <w:rsid w:val="003E1867"/>
    <w:rsid w:val="003E5729"/>
    <w:rsid w:val="003F4EE0"/>
    <w:rsid w:val="00402153"/>
    <w:rsid w:val="00402FC1"/>
    <w:rsid w:val="00425082"/>
    <w:rsid w:val="00431DEB"/>
    <w:rsid w:val="00446B29"/>
    <w:rsid w:val="00453121"/>
    <w:rsid w:val="00453F9A"/>
    <w:rsid w:val="00471E91"/>
    <w:rsid w:val="00474675"/>
    <w:rsid w:val="0047470C"/>
    <w:rsid w:val="00482CD4"/>
    <w:rsid w:val="004A35F9"/>
    <w:rsid w:val="004B24C1"/>
    <w:rsid w:val="004C292F"/>
    <w:rsid w:val="00510280"/>
    <w:rsid w:val="00513D73"/>
    <w:rsid w:val="00514A43"/>
    <w:rsid w:val="005174E5"/>
    <w:rsid w:val="00522393"/>
    <w:rsid w:val="00522620"/>
    <w:rsid w:val="00525656"/>
    <w:rsid w:val="00534C02"/>
    <w:rsid w:val="0054264B"/>
    <w:rsid w:val="00543786"/>
    <w:rsid w:val="005533D7"/>
    <w:rsid w:val="005703DE"/>
    <w:rsid w:val="0058464E"/>
    <w:rsid w:val="005A01CB"/>
    <w:rsid w:val="005A58FF"/>
    <w:rsid w:val="005A5EAF"/>
    <w:rsid w:val="005A64C0"/>
    <w:rsid w:val="005B3C11"/>
    <w:rsid w:val="005C1C28"/>
    <w:rsid w:val="005C6DB5"/>
    <w:rsid w:val="005E19E7"/>
    <w:rsid w:val="0061716C"/>
    <w:rsid w:val="006243A1"/>
    <w:rsid w:val="00632E56"/>
    <w:rsid w:val="00635CBA"/>
    <w:rsid w:val="0064338B"/>
    <w:rsid w:val="00646542"/>
    <w:rsid w:val="006504F4"/>
    <w:rsid w:val="00654BC9"/>
    <w:rsid w:val="006552FD"/>
    <w:rsid w:val="00663AF3"/>
    <w:rsid w:val="00666B6C"/>
    <w:rsid w:val="0068107A"/>
    <w:rsid w:val="00682682"/>
    <w:rsid w:val="00682702"/>
    <w:rsid w:val="00692368"/>
    <w:rsid w:val="006A2EBC"/>
    <w:rsid w:val="006A5EA0"/>
    <w:rsid w:val="006A783B"/>
    <w:rsid w:val="006A7B33"/>
    <w:rsid w:val="006B4E13"/>
    <w:rsid w:val="006B75DD"/>
    <w:rsid w:val="006C67E0"/>
    <w:rsid w:val="006C7ABA"/>
    <w:rsid w:val="006D0D60"/>
    <w:rsid w:val="006D1122"/>
    <w:rsid w:val="006D3C00"/>
    <w:rsid w:val="006E3675"/>
    <w:rsid w:val="006E4A7F"/>
    <w:rsid w:val="00702736"/>
    <w:rsid w:val="00704DF6"/>
    <w:rsid w:val="0070651C"/>
    <w:rsid w:val="007132A3"/>
    <w:rsid w:val="00716421"/>
    <w:rsid w:val="00724EFB"/>
    <w:rsid w:val="00737B18"/>
    <w:rsid w:val="007419C3"/>
    <w:rsid w:val="007467A7"/>
    <w:rsid w:val="007469DD"/>
    <w:rsid w:val="0074741B"/>
    <w:rsid w:val="0074759E"/>
    <w:rsid w:val="007478EA"/>
    <w:rsid w:val="0075415C"/>
    <w:rsid w:val="00763502"/>
    <w:rsid w:val="007913AB"/>
    <w:rsid w:val="007914F7"/>
    <w:rsid w:val="007B1625"/>
    <w:rsid w:val="007B706E"/>
    <w:rsid w:val="007B71EB"/>
    <w:rsid w:val="007C6205"/>
    <w:rsid w:val="007C686A"/>
    <w:rsid w:val="007C728E"/>
    <w:rsid w:val="007D2C53"/>
    <w:rsid w:val="007D3D60"/>
    <w:rsid w:val="007E1980"/>
    <w:rsid w:val="007E4B76"/>
    <w:rsid w:val="007E5EA8"/>
    <w:rsid w:val="007F0CF1"/>
    <w:rsid w:val="007F12A5"/>
    <w:rsid w:val="007F4CF1"/>
    <w:rsid w:val="007F758D"/>
    <w:rsid w:val="007F7D52"/>
    <w:rsid w:val="0080654C"/>
    <w:rsid w:val="008071C6"/>
    <w:rsid w:val="00817A00"/>
    <w:rsid w:val="00835DB3"/>
    <w:rsid w:val="0083617B"/>
    <w:rsid w:val="008371BD"/>
    <w:rsid w:val="008504A8"/>
    <w:rsid w:val="0085282E"/>
    <w:rsid w:val="0087198C"/>
    <w:rsid w:val="00872C1F"/>
    <w:rsid w:val="00873B42"/>
    <w:rsid w:val="008856D8"/>
    <w:rsid w:val="00892E82"/>
    <w:rsid w:val="008C1B58"/>
    <w:rsid w:val="008C39AE"/>
    <w:rsid w:val="008C590D"/>
    <w:rsid w:val="008E031B"/>
    <w:rsid w:val="008E5DCC"/>
    <w:rsid w:val="008E7029"/>
    <w:rsid w:val="008E7EF6"/>
    <w:rsid w:val="008F1F98"/>
    <w:rsid w:val="008F6758"/>
    <w:rsid w:val="009040DD"/>
    <w:rsid w:val="00905B47"/>
    <w:rsid w:val="00911581"/>
    <w:rsid w:val="0091331C"/>
    <w:rsid w:val="009279DE"/>
    <w:rsid w:val="00930116"/>
    <w:rsid w:val="0094212C"/>
    <w:rsid w:val="00954689"/>
    <w:rsid w:val="009617C9"/>
    <w:rsid w:val="00961C93"/>
    <w:rsid w:val="00965324"/>
    <w:rsid w:val="0097091E"/>
    <w:rsid w:val="009760D3"/>
    <w:rsid w:val="00977132"/>
    <w:rsid w:val="0097725F"/>
    <w:rsid w:val="00981A4B"/>
    <w:rsid w:val="00982501"/>
    <w:rsid w:val="009877D3"/>
    <w:rsid w:val="00994E8F"/>
    <w:rsid w:val="009951DC"/>
    <w:rsid w:val="009959BB"/>
    <w:rsid w:val="00997158"/>
    <w:rsid w:val="009A3A7C"/>
    <w:rsid w:val="009B2ADB"/>
    <w:rsid w:val="009B603A"/>
    <w:rsid w:val="009C2D0E"/>
    <w:rsid w:val="009C3DAC"/>
    <w:rsid w:val="009C42E0"/>
    <w:rsid w:val="009D5362"/>
    <w:rsid w:val="009E1415"/>
    <w:rsid w:val="009E6116"/>
    <w:rsid w:val="00A02E43"/>
    <w:rsid w:val="00A065F9"/>
    <w:rsid w:val="00A07F34"/>
    <w:rsid w:val="00A22154"/>
    <w:rsid w:val="00A25C38"/>
    <w:rsid w:val="00A36BBE"/>
    <w:rsid w:val="00A4307A"/>
    <w:rsid w:val="00A47EBB"/>
    <w:rsid w:val="00A51CDD"/>
    <w:rsid w:val="00A6730D"/>
    <w:rsid w:val="00A71625"/>
    <w:rsid w:val="00A71B9B"/>
    <w:rsid w:val="00A751C7"/>
    <w:rsid w:val="00A87844"/>
    <w:rsid w:val="00AA038C"/>
    <w:rsid w:val="00AA7A09"/>
    <w:rsid w:val="00AB3B50"/>
    <w:rsid w:val="00AC05B1"/>
    <w:rsid w:val="00AD356C"/>
    <w:rsid w:val="00AE2914"/>
    <w:rsid w:val="00AE6D15"/>
    <w:rsid w:val="00B04182"/>
    <w:rsid w:val="00B04F88"/>
    <w:rsid w:val="00B07AE3"/>
    <w:rsid w:val="00B11430"/>
    <w:rsid w:val="00B353EB"/>
    <w:rsid w:val="00B439C4"/>
    <w:rsid w:val="00B4535E"/>
    <w:rsid w:val="00B52A8C"/>
    <w:rsid w:val="00B636A8"/>
    <w:rsid w:val="00B665C6"/>
    <w:rsid w:val="00B7591F"/>
    <w:rsid w:val="00B805AF"/>
    <w:rsid w:val="00B869EC"/>
    <w:rsid w:val="00B9397A"/>
    <w:rsid w:val="00B9633D"/>
    <w:rsid w:val="00BA2EBE"/>
    <w:rsid w:val="00BB0F28"/>
    <w:rsid w:val="00BB458A"/>
    <w:rsid w:val="00BC7259"/>
    <w:rsid w:val="00BD00D3"/>
    <w:rsid w:val="00BD1659"/>
    <w:rsid w:val="00BD3AA9"/>
    <w:rsid w:val="00BD4A18"/>
    <w:rsid w:val="00BD6DB2"/>
    <w:rsid w:val="00BE0572"/>
    <w:rsid w:val="00BE11CF"/>
    <w:rsid w:val="00BE21AB"/>
    <w:rsid w:val="00BE55CB"/>
    <w:rsid w:val="00BF3895"/>
    <w:rsid w:val="00BF617A"/>
    <w:rsid w:val="00C0379D"/>
    <w:rsid w:val="00C03931"/>
    <w:rsid w:val="00C05FE3"/>
    <w:rsid w:val="00C2136D"/>
    <w:rsid w:val="00C214EE"/>
    <w:rsid w:val="00C2314B"/>
    <w:rsid w:val="00C24971"/>
    <w:rsid w:val="00C26BE5"/>
    <w:rsid w:val="00C26E4D"/>
    <w:rsid w:val="00C27909"/>
    <w:rsid w:val="00C27B03"/>
    <w:rsid w:val="00C314E1"/>
    <w:rsid w:val="00C34397"/>
    <w:rsid w:val="00C4095D"/>
    <w:rsid w:val="00C50F05"/>
    <w:rsid w:val="00C601D2"/>
    <w:rsid w:val="00C65BCC"/>
    <w:rsid w:val="00C66970"/>
    <w:rsid w:val="00C8691C"/>
    <w:rsid w:val="00CA168A"/>
    <w:rsid w:val="00CA357E"/>
    <w:rsid w:val="00CA44F9"/>
    <w:rsid w:val="00CA4A69"/>
    <w:rsid w:val="00CC3E0C"/>
    <w:rsid w:val="00CC58D3"/>
    <w:rsid w:val="00CC784D"/>
    <w:rsid w:val="00D0337B"/>
    <w:rsid w:val="00D079B2"/>
    <w:rsid w:val="00D114E9"/>
    <w:rsid w:val="00D21687"/>
    <w:rsid w:val="00D429C6"/>
    <w:rsid w:val="00D47748"/>
    <w:rsid w:val="00D54CC3"/>
    <w:rsid w:val="00D6041A"/>
    <w:rsid w:val="00D633EB"/>
    <w:rsid w:val="00D82FF7"/>
    <w:rsid w:val="00D847FE"/>
    <w:rsid w:val="00D964EA"/>
    <w:rsid w:val="00D966D0"/>
    <w:rsid w:val="00DA0C59"/>
    <w:rsid w:val="00DA3991"/>
    <w:rsid w:val="00DB7E6C"/>
    <w:rsid w:val="00DD5A29"/>
    <w:rsid w:val="00DD5D9D"/>
    <w:rsid w:val="00DE35CB"/>
    <w:rsid w:val="00DF21E9"/>
    <w:rsid w:val="00E00F14"/>
    <w:rsid w:val="00E06386"/>
    <w:rsid w:val="00E0678C"/>
    <w:rsid w:val="00E24EB4"/>
    <w:rsid w:val="00E320ED"/>
    <w:rsid w:val="00E33AFB"/>
    <w:rsid w:val="00E34218"/>
    <w:rsid w:val="00E46282"/>
    <w:rsid w:val="00E5216E"/>
    <w:rsid w:val="00E82344"/>
    <w:rsid w:val="00E84C82"/>
    <w:rsid w:val="00E84D64"/>
    <w:rsid w:val="00E87408"/>
    <w:rsid w:val="00E914C4"/>
    <w:rsid w:val="00E934F5"/>
    <w:rsid w:val="00E96961"/>
    <w:rsid w:val="00EA72EC"/>
    <w:rsid w:val="00EB11CB"/>
    <w:rsid w:val="00EB275A"/>
    <w:rsid w:val="00EB786A"/>
    <w:rsid w:val="00EC1578"/>
    <w:rsid w:val="00EC1C72"/>
    <w:rsid w:val="00EC2E79"/>
    <w:rsid w:val="00EC3CC9"/>
    <w:rsid w:val="00EC680A"/>
    <w:rsid w:val="00EE2BED"/>
    <w:rsid w:val="00EE374B"/>
    <w:rsid w:val="00F11BB5"/>
    <w:rsid w:val="00F1417B"/>
    <w:rsid w:val="00F34B99"/>
    <w:rsid w:val="00F52DAB"/>
    <w:rsid w:val="00F543F0"/>
    <w:rsid w:val="00F81D29"/>
    <w:rsid w:val="00F8623F"/>
    <w:rsid w:val="00F91C4D"/>
    <w:rsid w:val="00F92FD9"/>
    <w:rsid w:val="00FA6684"/>
    <w:rsid w:val="00FA731E"/>
    <w:rsid w:val="00FB2B38"/>
    <w:rsid w:val="00FC6358"/>
    <w:rsid w:val="00FD320D"/>
    <w:rsid w:val="00FE23DE"/>
    <w:rsid w:val="01057830"/>
    <w:rsid w:val="0276378D"/>
    <w:rsid w:val="03E0402E"/>
    <w:rsid w:val="04B75515"/>
    <w:rsid w:val="06FC51AB"/>
    <w:rsid w:val="073B53DB"/>
    <w:rsid w:val="07BE62CF"/>
    <w:rsid w:val="08272093"/>
    <w:rsid w:val="08E622D6"/>
    <w:rsid w:val="0B77214C"/>
    <w:rsid w:val="0C8620F8"/>
    <w:rsid w:val="0D34386C"/>
    <w:rsid w:val="0DF86518"/>
    <w:rsid w:val="0F251BE1"/>
    <w:rsid w:val="0F2D5340"/>
    <w:rsid w:val="0F6E0E8B"/>
    <w:rsid w:val="0FF24283"/>
    <w:rsid w:val="10BA4A56"/>
    <w:rsid w:val="129528D8"/>
    <w:rsid w:val="13210D11"/>
    <w:rsid w:val="16547963"/>
    <w:rsid w:val="16E46234"/>
    <w:rsid w:val="172E2309"/>
    <w:rsid w:val="17C670F3"/>
    <w:rsid w:val="180E1D78"/>
    <w:rsid w:val="18890417"/>
    <w:rsid w:val="1A1F4E57"/>
    <w:rsid w:val="1AD66A38"/>
    <w:rsid w:val="1B800F98"/>
    <w:rsid w:val="1D5D7446"/>
    <w:rsid w:val="1D61177E"/>
    <w:rsid w:val="1DCA120B"/>
    <w:rsid w:val="1E293731"/>
    <w:rsid w:val="1F0B011D"/>
    <w:rsid w:val="20FD2D53"/>
    <w:rsid w:val="211D0D33"/>
    <w:rsid w:val="215D578F"/>
    <w:rsid w:val="217C26E3"/>
    <w:rsid w:val="221626EB"/>
    <w:rsid w:val="234F012D"/>
    <w:rsid w:val="245E5C80"/>
    <w:rsid w:val="2569730F"/>
    <w:rsid w:val="26D05BA5"/>
    <w:rsid w:val="271950E6"/>
    <w:rsid w:val="276819B1"/>
    <w:rsid w:val="27F70FE9"/>
    <w:rsid w:val="295B49A7"/>
    <w:rsid w:val="2A3F3A14"/>
    <w:rsid w:val="2A632F5E"/>
    <w:rsid w:val="2AB55940"/>
    <w:rsid w:val="2B323C4F"/>
    <w:rsid w:val="2B857924"/>
    <w:rsid w:val="2BC71172"/>
    <w:rsid w:val="2C6A1447"/>
    <w:rsid w:val="2CCD5624"/>
    <w:rsid w:val="2CCE0AFE"/>
    <w:rsid w:val="2D9800AD"/>
    <w:rsid w:val="2E2D506E"/>
    <w:rsid w:val="2E352D43"/>
    <w:rsid w:val="2E985BE6"/>
    <w:rsid w:val="2F2F58D6"/>
    <w:rsid w:val="2F555B13"/>
    <w:rsid w:val="323D0B98"/>
    <w:rsid w:val="32933C72"/>
    <w:rsid w:val="341643D3"/>
    <w:rsid w:val="341D309B"/>
    <w:rsid w:val="343B44CD"/>
    <w:rsid w:val="34D41F32"/>
    <w:rsid w:val="35002DEE"/>
    <w:rsid w:val="3610760E"/>
    <w:rsid w:val="36310DCA"/>
    <w:rsid w:val="36F03FFC"/>
    <w:rsid w:val="381E6926"/>
    <w:rsid w:val="382471D8"/>
    <w:rsid w:val="384355C7"/>
    <w:rsid w:val="390B7B7C"/>
    <w:rsid w:val="39277E6B"/>
    <w:rsid w:val="39B22A6B"/>
    <w:rsid w:val="39E96444"/>
    <w:rsid w:val="39FA3ECB"/>
    <w:rsid w:val="3A152297"/>
    <w:rsid w:val="3A244454"/>
    <w:rsid w:val="3A2D1654"/>
    <w:rsid w:val="3C6A6509"/>
    <w:rsid w:val="3CA45235"/>
    <w:rsid w:val="3D974BF9"/>
    <w:rsid w:val="3E77006F"/>
    <w:rsid w:val="3EBF02CE"/>
    <w:rsid w:val="404D7E29"/>
    <w:rsid w:val="404F3064"/>
    <w:rsid w:val="406E4796"/>
    <w:rsid w:val="449A7EA4"/>
    <w:rsid w:val="44C73599"/>
    <w:rsid w:val="466955B0"/>
    <w:rsid w:val="4909190C"/>
    <w:rsid w:val="496F6543"/>
    <w:rsid w:val="4A582BEC"/>
    <w:rsid w:val="4A5A5953"/>
    <w:rsid w:val="4AF42D3C"/>
    <w:rsid w:val="4B18457F"/>
    <w:rsid w:val="4B7A5635"/>
    <w:rsid w:val="4BBA20B9"/>
    <w:rsid w:val="4C536095"/>
    <w:rsid w:val="4C6B7F77"/>
    <w:rsid w:val="4C8709B3"/>
    <w:rsid w:val="4D9D19EF"/>
    <w:rsid w:val="4E1C4A3F"/>
    <w:rsid w:val="4E34061C"/>
    <w:rsid w:val="4E420E4C"/>
    <w:rsid w:val="4FE56721"/>
    <w:rsid w:val="50686D0F"/>
    <w:rsid w:val="508879BA"/>
    <w:rsid w:val="5515448D"/>
    <w:rsid w:val="562B5393"/>
    <w:rsid w:val="56494C7A"/>
    <w:rsid w:val="57892E29"/>
    <w:rsid w:val="57E369D7"/>
    <w:rsid w:val="5BBE1829"/>
    <w:rsid w:val="5BE6552C"/>
    <w:rsid w:val="5C8207EE"/>
    <w:rsid w:val="5CB9768E"/>
    <w:rsid w:val="5CC25AA1"/>
    <w:rsid w:val="5D051145"/>
    <w:rsid w:val="5E381C80"/>
    <w:rsid w:val="5F7011AF"/>
    <w:rsid w:val="60B74C86"/>
    <w:rsid w:val="613E4288"/>
    <w:rsid w:val="63345059"/>
    <w:rsid w:val="633E16DE"/>
    <w:rsid w:val="63BE10C3"/>
    <w:rsid w:val="63F53B39"/>
    <w:rsid w:val="648B2AD1"/>
    <w:rsid w:val="65DF550A"/>
    <w:rsid w:val="66076439"/>
    <w:rsid w:val="673B3E15"/>
    <w:rsid w:val="688B4294"/>
    <w:rsid w:val="69447467"/>
    <w:rsid w:val="699235A2"/>
    <w:rsid w:val="6A407062"/>
    <w:rsid w:val="6BBB5A8A"/>
    <w:rsid w:val="6C825F8C"/>
    <w:rsid w:val="6C8E27F7"/>
    <w:rsid w:val="6E386207"/>
    <w:rsid w:val="6E743D85"/>
    <w:rsid w:val="6FBB3866"/>
    <w:rsid w:val="703C71B6"/>
    <w:rsid w:val="70A160F9"/>
    <w:rsid w:val="712F76D2"/>
    <w:rsid w:val="71B25C13"/>
    <w:rsid w:val="72490613"/>
    <w:rsid w:val="72CA2B6F"/>
    <w:rsid w:val="72CB6BAD"/>
    <w:rsid w:val="737A1D43"/>
    <w:rsid w:val="758761E4"/>
    <w:rsid w:val="76466C82"/>
    <w:rsid w:val="77E1634B"/>
    <w:rsid w:val="78011C67"/>
    <w:rsid w:val="78025CF9"/>
    <w:rsid w:val="7AD83458"/>
    <w:rsid w:val="7BE27939"/>
    <w:rsid w:val="7C9C6CB5"/>
    <w:rsid w:val="7CA254D9"/>
    <w:rsid w:val="7D347E26"/>
    <w:rsid w:val="7D832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semiHidden="0" w:name="index 1"/>
    <w:lsdException w:qFormat="1" w:unhideWhenUsed="0" w:uiPriority="0" w:semiHidden="0" w:name="index 2"/>
    <w:lsdException w:qFormat="1" w:unhideWhenUsed="0" w:uiPriority="0" w:semiHidden="0" w:name="index 3"/>
    <w:lsdException w:qFormat="1" w:unhideWhenUsed="0" w:uiPriority="0" w:semiHidden="0" w:name="index 4"/>
    <w:lsdException w:qFormat="1" w:unhideWhenUsed="0" w:uiPriority="0" w:semiHidden="0" w:name="index 5"/>
    <w:lsdException w:qFormat="1" w:unhideWhenUsed="0" w:uiPriority="0" w:semiHidden="0" w:name="index 6"/>
    <w:lsdException w:qFormat="1" w:unhideWhenUsed="0" w:uiPriority="0" w:semiHidden="0" w:name="index 7"/>
    <w:lsdException w:qFormat="1" w:unhideWhenUsed="0" w:uiPriority="0" w:semiHidden="0" w:name="index 8"/>
    <w:lsdException w:qFormat="1" w:unhideWhenUsed="0" w:uiPriority="0" w:semiHidden="0" w:name="index 9"/>
    <w:lsdException w:qFormat="1" w:unhideWhenUsed="0" w:uiPriority="39" w:semiHidden="0" w:name="toc 1"/>
    <w:lsdException w:qFormat="1" w:unhideWhenUsed="0" w:uiPriority="0" w:name="toc 2"/>
    <w:lsdException w:qFormat="1" w:unhideWhenUsed="0" w:uiPriority="39" w:semiHidden="0" w:name="toc 3"/>
    <w:lsdException w:qFormat="1" w:unhideWhenUsed="0" w:uiPriority="39" w:semiHidden="0" w:name="toc 4"/>
    <w:lsdException w:qFormat="1" w:unhideWhenUsed="0" w:uiPriority="0" w:name="toc 5"/>
    <w:lsdException w:qFormat="1" w:unhideWhenUsed="0" w:uiPriority="0" w:name="toc 6"/>
    <w:lsdException w:qFormat="1" w:unhideWhenUsed="0" w:uiPriority="0" w:name="toc 7"/>
    <w:lsdException w:qFormat="1" w:unhideWhenUsed="0" w:uiPriority="0" w:name="toc 8"/>
    <w:lsdException w:qFormat="1" w:unhideWhenUsed="0" w:uiPriority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qFormat="1"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qFormat="1" w:unhideWhenUsed="0" w:uiPriority="0" w:name="endnote reference"/>
    <w:lsdException w:qFormat="1" w:unhideWhenUsed="0" w:uiPriority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2"/>
    </w:pPr>
    <w:rPr>
      <w:rFonts w:hint="eastAsia" w:ascii="宋体" w:hAnsi="宋体"/>
      <w:b/>
      <w:bCs/>
      <w:kern w:val="0"/>
      <w:sz w:val="27"/>
      <w:szCs w:val="27"/>
    </w:rPr>
  </w:style>
  <w:style w:type="paragraph" w:styleId="3">
    <w:name w:val="heading 4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3"/>
    </w:pPr>
    <w:rPr>
      <w:rFonts w:hint="eastAsia" w:ascii="宋体" w:hAnsi="宋体"/>
      <w:b/>
      <w:bCs/>
      <w:kern w:val="0"/>
      <w:sz w:val="24"/>
    </w:rPr>
  </w:style>
  <w:style w:type="character" w:default="1" w:styleId="34">
    <w:name w:val="Default Paragraph Font"/>
    <w:semiHidden/>
    <w:unhideWhenUsed/>
    <w:qFormat/>
    <w:uiPriority w:val="1"/>
  </w:style>
  <w:style w:type="table" w:default="1" w:styleId="3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c 7"/>
    <w:basedOn w:val="1"/>
    <w:next w:val="1"/>
    <w:semiHidden/>
    <w:qFormat/>
    <w:uiPriority w:val="0"/>
    <w:pPr>
      <w:tabs>
        <w:tab w:val="right" w:leader="dot" w:pos="9242"/>
      </w:tabs>
      <w:ind w:firstLine="1050" w:firstLineChars="500"/>
      <w:jc w:val="left"/>
    </w:pPr>
    <w:rPr>
      <w:rFonts w:ascii="宋体"/>
      <w:szCs w:val="21"/>
    </w:rPr>
  </w:style>
  <w:style w:type="paragraph" w:styleId="5">
    <w:name w:val="index 8"/>
    <w:basedOn w:val="1"/>
    <w:next w:val="1"/>
    <w:qFormat/>
    <w:uiPriority w:val="0"/>
    <w:pPr>
      <w:ind w:left="1680" w:hanging="210"/>
      <w:jc w:val="left"/>
    </w:pPr>
    <w:rPr>
      <w:rFonts w:ascii="Calibri" w:hAnsi="Calibri"/>
      <w:sz w:val="20"/>
      <w:szCs w:val="20"/>
    </w:rPr>
  </w:style>
  <w:style w:type="paragraph" w:styleId="6">
    <w:name w:val="caption"/>
    <w:basedOn w:val="1"/>
    <w:next w:val="1"/>
    <w:qFormat/>
    <w:uiPriority w:val="0"/>
    <w:pPr>
      <w:spacing w:before="152" w:after="160"/>
    </w:pPr>
    <w:rPr>
      <w:rFonts w:ascii="Arial" w:hAnsi="Arial" w:eastAsia="黑体" w:cs="Arial"/>
      <w:sz w:val="20"/>
      <w:szCs w:val="20"/>
    </w:rPr>
  </w:style>
  <w:style w:type="paragraph" w:styleId="7">
    <w:name w:val="index 5"/>
    <w:basedOn w:val="1"/>
    <w:next w:val="1"/>
    <w:qFormat/>
    <w:uiPriority w:val="0"/>
    <w:pPr>
      <w:ind w:left="1050" w:hanging="210"/>
      <w:jc w:val="left"/>
    </w:pPr>
    <w:rPr>
      <w:rFonts w:ascii="Calibri" w:hAnsi="Calibri"/>
      <w:sz w:val="20"/>
      <w:szCs w:val="20"/>
    </w:rPr>
  </w:style>
  <w:style w:type="paragraph" w:styleId="8">
    <w:name w:val="Document Map"/>
    <w:basedOn w:val="1"/>
    <w:semiHidden/>
    <w:qFormat/>
    <w:uiPriority w:val="0"/>
    <w:pPr>
      <w:shd w:val="clear" w:color="auto" w:fill="000080"/>
    </w:pPr>
  </w:style>
  <w:style w:type="paragraph" w:styleId="9">
    <w:name w:val="index 6"/>
    <w:basedOn w:val="1"/>
    <w:next w:val="1"/>
    <w:qFormat/>
    <w:uiPriority w:val="0"/>
    <w:pPr>
      <w:ind w:left="1260" w:hanging="210"/>
      <w:jc w:val="left"/>
    </w:pPr>
    <w:rPr>
      <w:rFonts w:ascii="Calibri" w:hAnsi="Calibri"/>
      <w:sz w:val="20"/>
      <w:szCs w:val="20"/>
    </w:rPr>
  </w:style>
  <w:style w:type="paragraph" w:styleId="10">
    <w:name w:val="Body Text"/>
    <w:basedOn w:val="1"/>
    <w:qFormat/>
    <w:uiPriority w:val="1"/>
    <w:rPr>
      <w:szCs w:val="21"/>
    </w:rPr>
  </w:style>
  <w:style w:type="paragraph" w:styleId="11">
    <w:name w:val="index 4"/>
    <w:basedOn w:val="1"/>
    <w:next w:val="1"/>
    <w:qFormat/>
    <w:uiPriority w:val="0"/>
    <w:pPr>
      <w:ind w:left="840" w:hanging="210"/>
      <w:jc w:val="left"/>
    </w:pPr>
    <w:rPr>
      <w:rFonts w:ascii="Calibri" w:hAnsi="Calibri"/>
      <w:sz w:val="20"/>
      <w:szCs w:val="20"/>
    </w:rPr>
  </w:style>
  <w:style w:type="paragraph" w:styleId="12">
    <w:name w:val="toc 5"/>
    <w:basedOn w:val="1"/>
    <w:next w:val="1"/>
    <w:semiHidden/>
    <w:qFormat/>
    <w:uiPriority w:val="0"/>
    <w:pPr>
      <w:tabs>
        <w:tab w:val="right" w:leader="dot" w:pos="9242"/>
      </w:tabs>
      <w:ind w:firstLine="630" w:firstLineChars="300"/>
      <w:jc w:val="left"/>
    </w:pPr>
    <w:rPr>
      <w:rFonts w:ascii="宋体"/>
      <w:szCs w:val="21"/>
    </w:rPr>
  </w:style>
  <w:style w:type="paragraph" w:styleId="13">
    <w:name w:val="toc 3"/>
    <w:basedOn w:val="1"/>
    <w:next w:val="1"/>
    <w:qFormat/>
    <w:uiPriority w:val="39"/>
    <w:pPr>
      <w:tabs>
        <w:tab w:val="right" w:leader="dot" w:pos="9242"/>
      </w:tabs>
      <w:ind w:firstLine="210" w:firstLineChars="100"/>
      <w:jc w:val="left"/>
    </w:pPr>
    <w:rPr>
      <w:rFonts w:ascii="宋体"/>
      <w:szCs w:val="21"/>
    </w:rPr>
  </w:style>
  <w:style w:type="paragraph" w:styleId="14">
    <w:name w:val="toc 8"/>
    <w:basedOn w:val="1"/>
    <w:next w:val="1"/>
    <w:semiHidden/>
    <w:qFormat/>
    <w:uiPriority w:val="0"/>
    <w:pPr>
      <w:tabs>
        <w:tab w:val="right" w:leader="dot" w:pos="9242"/>
      </w:tabs>
      <w:ind w:firstLine="1260" w:firstLineChars="600"/>
      <w:jc w:val="left"/>
    </w:pPr>
    <w:rPr>
      <w:rFonts w:ascii="宋体"/>
      <w:szCs w:val="21"/>
    </w:rPr>
  </w:style>
  <w:style w:type="paragraph" w:styleId="15">
    <w:name w:val="index 3"/>
    <w:basedOn w:val="1"/>
    <w:next w:val="1"/>
    <w:qFormat/>
    <w:uiPriority w:val="0"/>
    <w:pPr>
      <w:ind w:left="630" w:hanging="210"/>
      <w:jc w:val="left"/>
    </w:pPr>
    <w:rPr>
      <w:rFonts w:ascii="Calibri" w:hAnsi="Calibri"/>
      <w:sz w:val="20"/>
      <w:szCs w:val="20"/>
    </w:rPr>
  </w:style>
  <w:style w:type="paragraph" w:styleId="16">
    <w:name w:val="endnote text"/>
    <w:basedOn w:val="1"/>
    <w:semiHidden/>
    <w:qFormat/>
    <w:uiPriority w:val="0"/>
    <w:pPr>
      <w:snapToGrid w:val="0"/>
      <w:jc w:val="left"/>
    </w:pPr>
  </w:style>
  <w:style w:type="paragraph" w:styleId="17">
    <w:name w:val="footer"/>
    <w:basedOn w:val="1"/>
    <w:qFormat/>
    <w:uiPriority w:val="0"/>
    <w:pPr>
      <w:snapToGrid w:val="0"/>
      <w:ind w:right="210" w:rightChars="100"/>
      <w:jc w:val="right"/>
    </w:pPr>
    <w:rPr>
      <w:sz w:val="18"/>
      <w:szCs w:val="18"/>
    </w:rPr>
  </w:style>
  <w:style w:type="paragraph" w:styleId="18">
    <w:name w:val="header"/>
    <w:basedOn w:val="1"/>
    <w:qFormat/>
    <w:uiPriority w:val="0"/>
    <w:pPr>
      <w:snapToGrid w:val="0"/>
      <w:jc w:val="left"/>
    </w:pPr>
    <w:rPr>
      <w:sz w:val="18"/>
      <w:szCs w:val="18"/>
    </w:rPr>
  </w:style>
  <w:style w:type="paragraph" w:styleId="19">
    <w:name w:val="toc 1"/>
    <w:basedOn w:val="1"/>
    <w:next w:val="1"/>
    <w:qFormat/>
    <w:uiPriority w:val="39"/>
    <w:pPr>
      <w:tabs>
        <w:tab w:val="right" w:leader="dot" w:pos="9242"/>
      </w:tabs>
      <w:spacing w:before="79" w:beforeLines="25" w:after="79" w:afterLines="25"/>
      <w:jc w:val="left"/>
    </w:pPr>
    <w:rPr>
      <w:rFonts w:ascii="宋体"/>
      <w:szCs w:val="21"/>
    </w:rPr>
  </w:style>
  <w:style w:type="paragraph" w:styleId="20">
    <w:name w:val="toc 4"/>
    <w:basedOn w:val="1"/>
    <w:next w:val="1"/>
    <w:qFormat/>
    <w:uiPriority w:val="39"/>
    <w:pPr>
      <w:tabs>
        <w:tab w:val="right" w:leader="dot" w:pos="9242"/>
      </w:tabs>
      <w:ind w:firstLine="420" w:firstLineChars="200"/>
      <w:jc w:val="left"/>
    </w:pPr>
    <w:rPr>
      <w:rFonts w:ascii="宋体"/>
      <w:szCs w:val="21"/>
    </w:rPr>
  </w:style>
  <w:style w:type="paragraph" w:styleId="21">
    <w:name w:val="index heading"/>
    <w:basedOn w:val="1"/>
    <w:next w:val="22"/>
    <w:qFormat/>
    <w:uiPriority w:val="0"/>
    <w:pPr>
      <w:spacing w:before="120" w:after="120"/>
      <w:jc w:val="center"/>
    </w:pPr>
    <w:rPr>
      <w:rFonts w:ascii="Calibri" w:hAnsi="Calibri"/>
      <w:b/>
      <w:bCs/>
      <w:iCs/>
      <w:szCs w:val="20"/>
    </w:rPr>
  </w:style>
  <w:style w:type="paragraph" w:styleId="22">
    <w:name w:val="index 1"/>
    <w:basedOn w:val="1"/>
    <w:next w:val="23"/>
    <w:qFormat/>
    <w:uiPriority w:val="0"/>
    <w:pPr>
      <w:tabs>
        <w:tab w:val="right" w:leader="dot" w:pos="9299"/>
      </w:tabs>
      <w:jc w:val="left"/>
    </w:pPr>
    <w:rPr>
      <w:rFonts w:ascii="宋体"/>
      <w:szCs w:val="21"/>
    </w:rPr>
  </w:style>
  <w:style w:type="paragraph" w:customStyle="1" w:styleId="23">
    <w:name w:val="段"/>
    <w:link w:val="133"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styleId="24">
    <w:name w:val="footnote text"/>
    <w:basedOn w:val="1"/>
    <w:qFormat/>
    <w:uiPriority w:val="0"/>
    <w:pPr>
      <w:numPr>
        <w:ilvl w:val="0"/>
        <w:numId w:val="1"/>
      </w:numPr>
      <w:snapToGrid w:val="0"/>
      <w:jc w:val="left"/>
    </w:pPr>
    <w:rPr>
      <w:rFonts w:ascii="宋体"/>
      <w:sz w:val="18"/>
      <w:szCs w:val="18"/>
    </w:rPr>
  </w:style>
  <w:style w:type="paragraph" w:styleId="25">
    <w:name w:val="toc 6"/>
    <w:basedOn w:val="1"/>
    <w:next w:val="1"/>
    <w:semiHidden/>
    <w:qFormat/>
    <w:uiPriority w:val="0"/>
    <w:pPr>
      <w:tabs>
        <w:tab w:val="right" w:leader="dot" w:pos="9242"/>
      </w:tabs>
      <w:ind w:firstLine="840" w:firstLineChars="400"/>
      <w:jc w:val="left"/>
    </w:pPr>
    <w:rPr>
      <w:rFonts w:ascii="宋体"/>
      <w:szCs w:val="21"/>
    </w:rPr>
  </w:style>
  <w:style w:type="paragraph" w:styleId="26">
    <w:name w:val="index 7"/>
    <w:basedOn w:val="1"/>
    <w:next w:val="1"/>
    <w:qFormat/>
    <w:uiPriority w:val="0"/>
    <w:pPr>
      <w:ind w:left="1470" w:hanging="210"/>
      <w:jc w:val="left"/>
    </w:pPr>
    <w:rPr>
      <w:rFonts w:ascii="Calibri" w:hAnsi="Calibri"/>
      <w:sz w:val="20"/>
      <w:szCs w:val="20"/>
    </w:rPr>
  </w:style>
  <w:style w:type="paragraph" w:styleId="27">
    <w:name w:val="index 9"/>
    <w:basedOn w:val="1"/>
    <w:next w:val="1"/>
    <w:qFormat/>
    <w:uiPriority w:val="0"/>
    <w:pPr>
      <w:ind w:left="1890" w:hanging="210"/>
      <w:jc w:val="left"/>
    </w:pPr>
    <w:rPr>
      <w:rFonts w:ascii="Calibri" w:hAnsi="Calibri"/>
      <w:sz w:val="20"/>
      <w:szCs w:val="20"/>
    </w:rPr>
  </w:style>
  <w:style w:type="paragraph" w:styleId="28">
    <w:name w:val="toc 2"/>
    <w:basedOn w:val="1"/>
    <w:next w:val="1"/>
    <w:semiHidden/>
    <w:qFormat/>
    <w:uiPriority w:val="0"/>
    <w:pPr>
      <w:tabs>
        <w:tab w:val="right" w:leader="dot" w:pos="9242"/>
      </w:tabs>
    </w:pPr>
    <w:rPr>
      <w:rFonts w:ascii="宋体"/>
      <w:szCs w:val="21"/>
    </w:rPr>
  </w:style>
  <w:style w:type="paragraph" w:styleId="29">
    <w:name w:val="toc 9"/>
    <w:basedOn w:val="1"/>
    <w:next w:val="1"/>
    <w:semiHidden/>
    <w:qFormat/>
    <w:uiPriority w:val="0"/>
    <w:pPr>
      <w:ind w:left="1470"/>
      <w:jc w:val="left"/>
    </w:pPr>
    <w:rPr>
      <w:sz w:val="20"/>
      <w:szCs w:val="20"/>
    </w:rPr>
  </w:style>
  <w:style w:type="paragraph" w:styleId="30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31">
    <w:name w:val="index 2"/>
    <w:basedOn w:val="1"/>
    <w:next w:val="1"/>
    <w:qFormat/>
    <w:uiPriority w:val="0"/>
    <w:pPr>
      <w:ind w:left="420" w:hanging="210"/>
      <w:jc w:val="left"/>
    </w:pPr>
    <w:rPr>
      <w:rFonts w:ascii="Calibri" w:hAnsi="Calibri"/>
      <w:sz w:val="20"/>
      <w:szCs w:val="20"/>
    </w:rPr>
  </w:style>
  <w:style w:type="table" w:styleId="33">
    <w:name w:val="Table Grid"/>
    <w:basedOn w:val="32"/>
    <w:qFormat/>
    <w:uiPriority w:val="0"/>
    <w:rPr>
      <w:rFonts w:ascii="宋体"/>
      <w:sz w:val="18"/>
      <w:szCs w:val="18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35">
    <w:name w:val="Strong"/>
    <w:basedOn w:val="34"/>
    <w:qFormat/>
    <w:uiPriority w:val="0"/>
    <w:rPr>
      <w:b/>
    </w:rPr>
  </w:style>
  <w:style w:type="character" w:styleId="36">
    <w:name w:val="endnote reference"/>
    <w:basedOn w:val="34"/>
    <w:semiHidden/>
    <w:qFormat/>
    <w:uiPriority w:val="0"/>
    <w:rPr>
      <w:vertAlign w:val="superscript"/>
    </w:rPr>
  </w:style>
  <w:style w:type="character" w:styleId="37">
    <w:name w:val="page number"/>
    <w:basedOn w:val="34"/>
    <w:qFormat/>
    <w:uiPriority w:val="0"/>
    <w:rPr>
      <w:rFonts w:ascii="Times New Roman" w:hAnsi="Times New Roman" w:eastAsia="宋体"/>
      <w:sz w:val="18"/>
    </w:rPr>
  </w:style>
  <w:style w:type="character" w:styleId="38">
    <w:name w:val="FollowedHyperlink"/>
    <w:basedOn w:val="34"/>
    <w:qFormat/>
    <w:uiPriority w:val="0"/>
    <w:rPr>
      <w:color w:val="800080"/>
      <w:u w:val="single"/>
    </w:rPr>
  </w:style>
  <w:style w:type="character" w:styleId="39">
    <w:name w:val="Hyperlink"/>
    <w:basedOn w:val="34"/>
    <w:qFormat/>
    <w:uiPriority w:val="99"/>
    <w:rPr>
      <w:color w:val="0000FF"/>
      <w:spacing w:val="0"/>
      <w:w w:val="100"/>
      <w:szCs w:val="21"/>
      <w:u w:val="single"/>
    </w:rPr>
  </w:style>
  <w:style w:type="character" w:styleId="40">
    <w:name w:val="footnote reference"/>
    <w:basedOn w:val="34"/>
    <w:semiHidden/>
    <w:qFormat/>
    <w:uiPriority w:val="0"/>
    <w:rPr>
      <w:vertAlign w:val="superscript"/>
    </w:rPr>
  </w:style>
  <w:style w:type="paragraph" w:customStyle="1" w:styleId="41">
    <w:name w:val="首示例"/>
    <w:next w:val="23"/>
    <w:link w:val="134"/>
    <w:qFormat/>
    <w:uiPriority w:val="0"/>
    <w:pPr>
      <w:numPr>
        <w:ilvl w:val="0"/>
        <w:numId w:val="2"/>
      </w:numPr>
      <w:tabs>
        <w:tab w:val="left" w:pos="360"/>
      </w:tabs>
      <w:ind w:firstLine="0"/>
    </w:pPr>
    <w:rPr>
      <w:rFonts w:ascii="宋体" w:hAnsi="宋体" w:eastAsia="宋体" w:cs="Times New Roman"/>
      <w:kern w:val="2"/>
      <w:sz w:val="18"/>
      <w:szCs w:val="18"/>
      <w:lang w:val="en-US" w:eastAsia="zh-CN" w:bidi="ar-SA"/>
    </w:rPr>
  </w:style>
  <w:style w:type="paragraph" w:customStyle="1" w:styleId="42">
    <w:name w:val="附录公式"/>
    <w:basedOn w:val="23"/>
    <w:next w:val="23"/>
    <w:link w:val="136"/>
    <w:qFormat/>
    <w:uiPriority w:val="0"/>
  </w:style>
  <w:style w:type="paragraph" w:customStyle="1" w:styleId="43">
    <w:name w:val="附录三级无"/>
    <w:basedOn w:val="44"/>
    <w:qFormat/>
    <w:uiPriority w:val="0"/>
    <w:pPr>
      <w:tabs>
        <w:tab w:val="left" w:pos="360"/>
      </w:tabs>
      <w:spacing w:before="0" w:beforeLines="0" w:after="0" w:afterLines="0"/>
    </w:pPr>
    <w:rPr>
      <w:rFonts w:ascii="宋体" w:eastAsia="宋体"/>
      <w:szCs w:val="21"/>
    </w:rPr>
  </w:style>
  <w:style w:type="paragraph" w:customStyle="1" w:styleId="44">
    <w:name w:val="附录三级条标题"/>
    <w:basedOn w:val="45"/>
    <w:next w:val="23"/>
    <w:qFormat/>
    <w:uiPriority w:val="0"/>
    <w:pPr>
      <w:numPr>
        <w:ilvl w:val="4"/>
      </w:numPr>
      <w:tabs>
        <w:tab w:val="left" w:pos="360"/>
      </w:tabs>
      <w:outlineLvl w:val="4"/>
    </w:pPr>
  </w:style>
  <w:style w:type="paragraph" w:customStyle="1" w:styleId="45">
    <w:name w:val="附录二级条标题"/>
    <w:basedOn w:val="1"/>
    <w:next w:val="23"/>
    <w:qFormat/>
    <w:uiPriority w:val="0"/>
    <w:pPr>
      <w:widowControl/>
      <w:numPr>
        <w:ilvl w:val="3"/>
        <w:numId w:val="3"/>
      </w:numPr>
      <w:tabs>
        <w:tab w:val="left" w:pos="360"/>
      </w:tabs>
      <w:wordWrap w:val="0"/>
      <w:overflowPunct w:val="0"/>
      <w:autoSpaceDE w:val="0"/>
      <w:autoSpaceDN w:val="0"/>
      <w:spacing w:before="50" w:beforeLines="50" w:after="50" w:afterLines="50"/>
      <w:textAlignment w:val="baseline"/>
      <w:outlineLvl w:val="3"/>
    </w:pPr>
    <w:rPr>
      <w:rFonts w:ascii="黑体" w:eastAsia="黑体"/>
      <w:kern w:val="21"/>
      <w:szCs w:val="20"/>
    </w:rPr>
  </w:style>
  <w:style w:type="paragraph" w:customStyle="1" w:styleId="46">
    <w:name w:val="附录图标题"/>
    <w:basedOn w:val="1"/>
    <w:next w:val="23"/>
    <w:qFormat/>
    <w:uiPriority w:val="0"/>
    <w:pPr>
      <w:numPr>
        <w:ilvl w:val="1"/>
        <w:numId w:val="4"/>
      </w:numPr>
      <w:tabs>
        <w:tab w:val="left" w:pos="363"/>
      </w:tabs>
      <w:spacing w:before="50" w:beforeLines="50" w:after="50" w:afterLines="50"/>
      <w:ind w:left="0" w:firstLine="0"/>
      <w:jc w:val="center"/>
    </w:pPr>
    <w:rPr>
      <w:rFonts w:ascii="黑体" w:eastAsia="黑体"/>
      <w:szCs w:val="21"/>
    </w:rPr>
  </w:style>
  <w:style w:type="paragraph" w:customStyle="1" w:styleId="47">
    <w:name w:val="参考文献"/>
    <w:basedOn w:val="1"/>
    <w:next w:val="23"/>
    <w:qFormat/>
    <w:uiPriority w:val="0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48">
    <w:name w:val="封面标准文稿类别"/>
    <w:basedOn w:val="49"/>
    <w:qFormat/>
    <w:uiPriority w:val="0"/>
    <w:pPr>
      <w:framePr w:wrap="around"/>
      <w:spacing w:after="160" w:line="240" w:lineRule="auto"/>
    </w:pPr>
    <w:rPr>
      <w:sz w:val="24"/>
    </w:rPr>
  </w:style>
  <w:style w:type="paragraph" w:customStyle="1" w:styleId="49">
    <w:name w:val="封面一致性程度标识"/>
    <w:basedOn w:val="50"/>
    <w:qFormat/>
    <w:uiPriority w:val="0"/>
    <w:pPr>
      <w:framePr w:wrap="around"/>
      <w:spacing w:before="440"/>
    </w:pPr>
    <w:rPr>
      <w:rFonts w:ascii="宋体" w:eastAsia="宋体"/>
    </w:rPr>
  </w:style>
  <w:style w:type="paragraph" w:customStyle="1" w:styleId="50">
    <w:name w:val="封面标准英文名称"/>
    <w:basedOn w:val="51"/>
    <w:qFormat/>
    <w:uiPriority w:val="0"/>
    <w:pPr>
      <w:framePr w:wrap="around"/>
      <w:spacing w:before="370" w:line="400" w:lineRule="exact"/>
    </w:pPr>
    <w:rPr>
      <w:rFonts w:ascii="Times New Roman"/>
      <w:sz w:val="28"/>
      <w:szCs w:val="28"/>
    </w:rPr>
  </w:style>
  <w:style w:type="paragraph" w:customStyle="1" w:styleId="51">
    <w:name w:val="封面标准名称"/>
    <w:qFormat/>
    <w:uiPriority w:val="0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hAnsi="Times New Roman" w:eastAsia="黑体" w:cs="Times New Roman"/>
      <w:sz w:val="52"/>
      <w:lang w:val="en-US" w:eastAsia="zh-CN" w:bidi="ar-SA"/>
    </w:rPr>
  </w:style>
  <w:style w:type="paragraph" w:customStyle="1" w:styleId="52">
    <w:name w:val="封面标准号1"/>
    <w:qFormat/>
    <w:uiPriority w:val="0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rFonts w:ascii="Times New Roman" w:hAnsi="Times New Roman" w:eastAsia="宋体" w:cs="Times New Roman"/>
      <w:sz w:val="28"/>
      <w:lang w:val="en-US" w:eastAsia="zh-CN" w:bidi="ar-SA"/>
    </w:rPr>
  </w:style>
  <w:style w:type="paragraph" w:customStyle="1" w:styleId="53">
    <w:name w:val="目次、标准名称标题"/>
    <w:basedOn w:val="1"/>
    <w:next w:val="23"/>
    <w:qFormat/>
    <w:uiPriority w:val="0"/>
    <w:pPr>
      <w:keepNext/>
      <w:pageBreakBefore/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/>
      <w:kern w:val="0"/>
      <w:sz w:val="32"/>
      <w:szCs w:val="20"/>
    </w:rPr>
  </w:style>
  <w:style w:type="paragraph" w:customStyle="1" w:styleId="54">
    <w:name w:val="实施日期"/>
    <w:basedOn w:val="55"/>
    <w:qFormat/>
    <w:uiPriority w:val="0"/>
    <w:pPr>
      <w:framePr w:wrap="around" w:vAnchor="page" w:hAnchor="text"/>
      <w:jc w:val="right"/>
    </w:pPr>
  </w:style>
  <w:style w:type="paragraph" w:customStyle="1" w:styleId="55">
    <w:name w:val="发布日期"/>
    <w:qFormat/>
    <w:uiPriority w:val="0"/>
    <w:pPr>
      <w:framePr w:w="3997" w:h="471" w:hRule="exact" w:vSpace="181" w:wrap="around" w:vAnchor="margin" w:hAnchor="page" w:x="7089" w:y="14097" w:anchorLock="1"/>
    </w:pPr>
    <w:rPr>
      <w:rFonts w:ascii="Times New Roman" w:hAnsi="Times New Roman" w:eastAsia="黑体" w:cs="Times New Roman"/>
      <w:sz w:val="28"/>
      <w:lang w:val="en-US" w:eastAsia="zh-CN" w:bidi="ar-SA"/>
    </w:rPr>
  </w:style>
  <w:style w:type="paragraph" w:customStyle="1" w:styleId="56">
    <w:name w:val="列项说明"/>
    <w:basedOn w:val="1"/>
    <w:qFormat/>
    <w:uiPriority w:val="0"/>
    <w:pPr>
      <w:adjustRightInd w:val="0"/>
      <w:spacing w:line="320" w:lineRule="exact"/>
      <w:ind w:left="400" w:leftChars="200" w:hanging="200" w:hangingChars="200"/>
      <w:jc w:val="left"/>
      <w:textAlignment w:val="baseline"/>
    </w:pPr>
    <w:rPr>
      <w:rFonts w:ascii="宋体"/>
      <w:kern w:val="0"/>
      <w:szCs w:val="20"/>
    </w:rPr>
  </w:style>
  <w:style w:type="paragraph" w:customStyle="1" w:styleId="57">
    <w:name w:val="条文脚注"/>
    <w:basedOn w:val="24"/>
    <w:qFormat/>
    <w:uiPriority w:val="0"/>
    <w:pPr>
      <w:numPr>
        <w:numId w:val="0"/>
      </w:numPr>
      <w:jc w:val="both"/>
    </w:pPr>
  </w:style>
  <w:style w:type="paragraph" w:customStyle="1" w:styleId="58">
    <w:name w:val="列项●（二级）"/>
    <w:qFormat/>
    <w:uiPriority w:val="0"/>
    <w:pPr>
      <w:numPr>
        <w:ilvl w:val="1"/>
        <w:numId w:val="5"/>
      </w:numPr>
      <w:tabs>
        <w:tab w:val="left" w:pos="840"/>
      </w:tabs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59">
    <w:name w:val="列项——（一级）"/>
    <w:qFormat/>
    <w:uiPriority w:val="0"/>
    <w:pPr>
      <w:widowControl w:val="0"/>
      <w:numPr>
        <w:ilvl w:val="0"/>
        <w:numId w:val="5"/>
      </w:numPr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60">
    <w:name w:val="标准标志"/>
    <w:next w:val="1"/>
    <w:qFormat/>
    <w:uiPriority w:val="0"/>
    <w:pPr>
      <w:framePr w:w="2546" w:h="1389" w:hRule="exact" w:hSpace="181" w:vSpace="181" w:wrap="around" w:vAnchor="margin" w:hAnchor="margin" w:x="6522" w:y="398" w:anchorLock="1"/>
      <w:shd w:val="solid" w:color="FFFFFF" w:fill="FFFFFF"/>
      <w:spacing w:line="0" w:lineRule="atLeast"/>
      <w:jc w:val="right"/>
    </w:pPr>
    <w:rPr>
      <w:rFonts w:ascii="Times New Roman" w:hAnsi="Times New Roman" w:eastAsia="宋体" w:cs="Times New Roman"/>
      <w:b/>
      <w:w w:val="170"/>
      <w:sz w:val="96"/>
      <w:szCs w:val="96"/>
      <w:lang w:val="en-US" w:eastAsia="zh-CN" w:bidi="ar-SA"/>
    </w:rPr>
  </w:style>
  <w:style w:type="paragraph" w:customStyle="1" w:styleId="61">
    <w:name w:val="五级条标题"/>
    <w:basedOn w:val="62"/>
    <w:next w:val="23"/>
    <w:qFormat/>
    <w:uiPriority w:val="0"/>
    <w:pPr>
      <w:numPr>
        <w:ilvl w:val="5"/>
      </w:numPr>
      <w:outlineLvl w:val="6"/>
    </w:pPr>
  </w:style>
  <w:style w:type="paragraph" w:customStyle="1" w:styleId="62">
    <w:name w:val="四级条标题"/>
    <w:basedOn w:val="63"/>
    <w:next w:val="23"/>
    <w:qFormat/>
    <w:uiPriority w:val="0"/>
    <w:pPr>
      <w:numPr>
        <w:ilvl w:val="4"/>
      </w:numPr>
      <w:outlineLvl w:val="5"/>
    </w:pPr>
  </w:style>
  <w:style w:type="paragraph" w:customStyle="1" w:styleId="63">
    <w:name w:val="三级条标题"/>
    <w:basedOn w:val="64"/>
    <w:next w:val="23"/>
    <w:qFormat/>
    <w:uiPriority w:val="0"/>
    <w:pPr>
      <w:numPr>
        <w:ilvl w:val="3"/>
      </w:numPr>
      <w:outlineLvl w:val="4"/>
    </w:pPr>
  </w:style>
  <w:style w:type="paragraph" w:customStyle="1" w:styleId="64">
    <w:name w:val="二级条标题"/>
    <w:basedOn w:val="65"/>
    <w:next w:val="1"/>
    <w:qFormat/>
    <w:uiPriority w:val="0"/>
    <w:pPr>
      <w:numPr>
        <w:ilvl w:val="2"/>
      </w:numPr>
      <w:spacing w:before="50" w:after="50"/>
      <w:outlineLvl w:val="3"/>
    </w:pPr>
  </w:style>
  <w:style w:type="paragraph" w:customStyle="1" w:styleId="65">
    <w:name w:val="一级条标题"/>
    <w:next w:val="23"/>
    <w:qFormat/>
    <w:uiPriority w:val="0"/>
    <w:pPr>
      <w:numPr>
        <w:ilvl w:val="1"/>
        <w:numId w:val="6"/>
      </w:numPr>
      <w:spacing w:before="156" w:beforeLines="50" w:after="156" w:afterLines="50"/>
      <w:outlineLvl w:val="2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66">
    <w:name w:val="标准书眉_奇数页"/>
    <w:next w:val="1"/>
    <w:qFormat/>
    <w:uiPriority w:val="0"/>
    <w:pPr>
      <w:tabs>
        <w:tab w:val="center" w:pos="4154"/>
        <w:tab w:val="right" w:pos="8306"/>
      </w:tabs>
      <w:spacing w:after="220"/>
      <w:jc w:val="right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67">
    <w:name w:val="附录表标号"/>
    <w:basedOn w:val="1"/>
    <w:next w:val="23"/>
    <w:qFormat/>
    <w:uiPriority w:val="0"/>
    <w:pPr>
      <w:numPr>
        <w:ilvl w:val="0"/>
        <w:numId w:val="7"/>
      </w:numPr>
      <w:tabs>
        <w:tab w:val="clear" w:pos="0"/>
      </w:tabs>
      <w:spacing w:line="14" w:lineRule="exact"/>
      <w:ind w:left="811" w:hanging="448"/>
      <w:jc w:val="center"/>
      <w:outlineLvl w:val="0"/>
    </w:pPr>
    <w:rPr>
      <w:color w:val="FFFFFF"/>
    </w:rPr>
  </w:style>
  <w:style w:type="paragraph" w:customStyle="1" w:styleId="68">
    <w:name w:val="附录数字编号列项（二级）"/>
    <w:qFormat/>
    <w:uiPriority w:val="0"/>
    <w:pPr>
      <w:numPr>
        <w:ilvl w:val="1"/>
        <w:numId w:val="8"/>
      </w:numPr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69">
    <w:name w:val="发布部门"/>
    <w:next w:val="23"/>
    <w:qFormat/>
    <w:uiPriority w:val="0"/>
    <w:pPr>
      <w:framePr w:w="7938" w:h="1134" w:hRule="exact" w:hSpace="125" w:vSpace="181" w:wrap="around" w:vAnchor="page" w:hAnchor="page" w:x="2150" w:y="14630" w:anchorLock="1"/>
      <w:jc w:val="center"/>
    </w:pPr>
    <w:rPr>
      <w:rFonts w:ascii="宋体" w:hAnsi="Times New Roman" w:eastAsia="宋体" w:cs="Times New Roman"/>
      <w:b/>
      <w:spacing w:val="20"/>
      <w:w w:val="135"/>
      <w:sz w:val="28"/>
      <w:lang w:val="en-US" w:eastAsia="zh-CN" w:bidi="ar-SA"/>
    </w:rPr>
  </w:style>
  <w:style w:type="paragraph" w:customStyle="1" w:styleId="70">
    <w:name w:val="注："/>
    <w:next w:val="23"/>
    <w:qFormat/>
    <w:uiPriority w:val="0"/>
    <w:pPr>
      <w:widowControl w:val="0"/>
      <w:numPr>
        <w:ilvl w:val="0"/>
        <w:numId w:val="9"/>
      </w:numPr>
      <w:autoSpaceDE w:val="0"/>
      <w:autoSpaceDN w:val="0"/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71">
    <w:name w:val="示例内容"/>
    <w:qFormat/>
    <w:uiPriority w:val="0"/>
    <w:pPr>
      <w:ind w:firstLine="200" w:firstLineChars="200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72">
    <w:name w:val="参考文献、索引标题"/>
    <w:basedOn w:val="1"/>
    <w:next w:val="23"/>
    <w:qFormat/>
    <w:uiPriority w:val="0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73">
    <w:name w:val="其他标准标志"/>
    <w:basedOn w:val="60"/>
    <w:qFormat/>
    <w:uiPriority w:val="0"/>
    <w:pPr>
      <w:framePr w:w="6101" w:wrap="around" w:vAnchor="page" w:hAnchor="page" w:x="4673" w:y="942"/>
    </w:pPr>
    <w:rPr>
      <w:w w:val="130"/>
    </w:rPr>
  </w:style>
  <w:style w:type="paragraph" w:customStyle="1" w:styleId="74">
    <w:name w:val="附录一级无"/>
    <w:basedOn w:val="75"/>
    <w:qFormat/>
    <w:uiPriority w:val="0"/>
    <w:pPr>
      <w:tabs>
        <w:tab w:val="left" w:pos="360"/>
      </w:tabs>
      <w:spacing w:before="0" w:beforeLines="0" w:after="0" w:afterLines="0"/>
    </w:pPr>
    <w:rPr>
      <w:rFonts w:ascii="宋体" w:eastAsia="宋体"/>
      <w:szCs w:val="21"/>
    </w:rPr>
  </w:style>
  <w:style w:type="paragraph" w:customStyle="1" w:styleId="75">
    <w:name w:val="附录一级条标题"/>
    <w:basedOn w:val="76"/>
    <w:next w:val="23"/>
    <w:qFormat/>
    <w:uiPriority w:val="0"/>
    <w:pPr>
      <w:numPr>
        <w:ilvl w:val="2"/>
      </w:numPr>
      <w:tabs>
        <w:tab w:val="left" w:pos="360"/>
      </w:tabs>
      <w:autoSpaceDN w:val="0"/>
      <w:spacing w:before="50" w:beforeLines="50" w:after="50" w:afterLines="50"/>
      <w:outlineLvl w:val="2"/>
    </w:pPr>
  </w:style>
  <w:style w:type="paragraph" w:customStyle="1" w:styleId="76">
    <w:name w:val="附录章标题"/>
    <w:next w:val="23"/>
    <w:qFormat/>
    <w:uiPriority w:val="0"/>
    <w:pPr>
      <w:numPr>
        <w:ilvl w:val="1"/>
        <w:numId w:val="3"/>
      </w:numPr>
      <w:tabs>
        <w:tab w:val="left" w:pos="360"/>
      </w:tabs>
      <w:wordWrap w:val="0"/>
      <w:overflowPunct w:val="0"/>
      <w:autoSpaceDE w:val="0"/>
      <w:spacing w:before="100" w:beforeLines="100" w:after="100" w:afterLines="100"/>
      <w:jc w:val="both"/>
      <w:textAlignment w:val="baseline"/>
      <w:outlineLvl w:val="1"/>
    </w:pPr>
    <w:rPr>
      <w:rFonts w:ascii="黑体" w:hAnsi="Times New Roman" w:eastAsia="黑体" w:cs="Times New Roman"/>
      <w:kern w:val="21"/>
      <w:sz w:val="21"/>
      <w:lang w:val="en-US" w:eastAsia="zh-CN" w:bidi="ar-SA"/>
    </w:rPr>
  </w:style>
  <w:style w:type="paragraph" w:customStyle="1" w:styleId="77">
    <w:name w:val="标准书眉_偶数页"/>
    <w:basedOn w:val="66"/>
    <w:next w:val="1"/>
    <w:qFormat/>
    <w:uiPriority w:val="0"/>
    <w:pPr>
      <w:jc w:val="left"/>
    </w:pPr>
  </w:style>
  <w:style w:type="paragraph" w:customStyle="1" w:styleId="78">
    <w:name w:val="标准书脚_奇数页"/>
    <w:qFormat/>
    <w:uiPriority w:val="0"/>
    <w:pPr>
      <w:spacing w:before="120"/>
      <w:ind w:right="198"/>
      <w:jc w:val="right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79">
    <w:name w:val="示例"/>
    <w:next w:val="71"/>
    <w:qFormat/>
    <w:uiPriority w:val="0"/>
    <w:pPr>
      <w:widowControl w:val="0"/>
      <w:numPr>
        <w:ilvl w:val="0"/>
        <w:numId w:val="10"/>
      </w:numPr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80">
    <w:name w:val="正文图标题"/>
    <w:next w:val="23"/>
    <w:qFormat/>
    <w:uiPriority w:val="0"/>
    <w:pPr>
      <w:numPr>
        <w:ilvl w:val="0"/>
        <w:numId w:val="11"/>
      </w:numPr>
      <w:tabs>
        <w:tab w:val="left" w:pos="360"/>
      </w:tabs>
      <w:spacing w:before="156" w:beforeLines="50" w:after="156" w:afterLines="50"/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81">
    <w:name w:val="注×："/>
    <w:qFormat/>
    <w:uiPriority w:val="0"/>
    <w:pPr>
      <w:widowControl w:val="0"/>
      <w:numPr>
        <w:ilvl w:val="0"/>
        <w:numId w:val="12"/>
      </w:numPr>
      <w:autoSpaceDE w:val="0"/>
      <w:autoSpaceDN w:val="0"/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82">
    <w:name w:val="封面标准文稿编辑信息2"/>
    <w:basedOn w:val="83"/>
    <w:qFormat/>
    <w:uiPriority w:val="0"/>
    <w:pPr>
      <w:framePr w:wrap="around" w:y="4469"/>
    </w:pPr>
  </w:style>
  <w:style w:type="paragraph" w:customStyle="1" w:styleId="83">
    <w:name w:val="封面标准文稿编辑信息"/>
    <w:basedOn w:val="48"/>
    <w:qFormat/>
    <w:uiPriority w:val="0"/>
    <w:pPr>
      <w:framePr w:wrap="around"/>
      <w:spacing w:before="180" w:line="180" w:lineRule="exact"/>
    </w:pPr>
    <w:rPr>
      <w:sz w:val="21"/>
    </w:rPr>
  </w:style>
  <w:style w:type="paragraph" w:customStyle="1" w:styleId="84">
    <w:name w:val="其他发布部门"/>
    <w:basedOn w:val="69"/>
    <w:qFormat/>
    <w:uiPriority w:val="0"/>
    <w:pPr>
      <w:framePr w:wrap="around" w:y="15310"/>
      <w:spacing w:line="0" w:lineRule="atLeast"/>
    </w:pPr>
    <w:rPr>
      <w:rFonts w:ascii="黑体" w:eastAsia="黑体"/>
      <w:b w:val="0"/>
    </w:rPr>
  </w:style>
  <w:style w:type="paragraph" w:customStyle="1" w:styleId="85">
    <w:name w:val="注×：（正文）"/>
    <w:qFormat/>
    <w:uiPriority w:val="0"/>
    <w:pPr>
      <w:numPr>
        <w:ilvl w:val="0"/>
        <w:numId w:val="13"/>
      </w:numPr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86">
    <w:name w:val="标准书眉一"/>
    <w:qFormat/>
    <w:uiPriority w:val="0"/>
    <w:pPr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87">
    <w:name w:val="正文表标题"/>
    <w:next w:val="23"/>
    <w:qFormat/>
    <w:uiPriority w:val="0"/>
    <w:pPr>
      <w:numPr>
        <w:ilvl w:val="0"/>
        <w:numId w:val="14"/>
      </w:numPr>
      <w:tabs>
        <w:tab w:val="left" w:pos="360"/>
      </w:tabs>
      <w:spacing w:before="156" w:beforeLines="50" w:after="156" w:afterLines="50"/>
      <w:jc w:val="center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88">
    <w:name w:val="四级无"/>
    <w:basedOn w:val="62"/>
    <w:qFormat/>
    <w:uiPriority w:val="0"/>
    <w:pPr>
      <w:spacing w:before="0" w:beforeLines="0" w:after="0" w:afterLines="0"/>
    </w:pPr>
    <w:rPr>
      <w:rFonts w:ascii="宋体" w:eastAsia="宋体"/>
    </w:rPr>
  </w:style>
  <w:style w:type="paragraph" w:customStyle="1" w:styleId="89">
    <w:name w:val="终结线"/>
    <w:basedOn w:val="1"/>
    <w:qFormat/>
    <w:uiPriority w:val="0"/>
    <w:pPr>
      <w:framePr w:hSpace="181" w:vSpace="181" w:wrap="around" w:vAnchor="text" w:hAnchor="margin" w:xAlign="center" w:y="285"/>
    </w:pPr>
  </w:style>
  <w:style w:type="paragraph" w:customStyle="1" w:styleId="90">
    <w:name w:val="附录二级无"/>
    <w:basedOn w:val="45"/>
    <w:qFormat/>
    <w:uiPriority w:val="0"/>
    <w:pPr>
      <w:tabs>
        <w:tab w:val="clear" w:pos="360"/>
      </w:tabs>
      <w:spacing w:before="0" w:beforeLines="0" w:after="0" w:afterLines="0"/>
    </w:pPr>
    <w:rPr>
      <w:rFonts w:ascii="宋体" w:eastAsia="宋体"/>
      <w:szCs w:val="21"/>
    </w:rPr>
  </w:style>
  <w:style w:type="paragraph" w:customStyle="1" w:styleId="91">
    <w:name w:val="其他标准称谓"/>
    <w:next w:val="1"/>
    <w:qFormat/>
    <w:uiPriority w:val="0"/>
    <w:pPr>
      <w:framePr w:hSpace="181" w:vSpace="181" w:wrap="around" w:vAnchor="page" w:hAnchor="page" w:x="1419" w:y="2286" w:anchorLock="1"/>
      <w:spacing w:line="0" w:lineRule="atLeast"/>
      <w:jc w:val="distribute"/>
    </w:pPr>
    <w:rPr>
      <w:rFonts w:ascii="黑体" w:hAnsi="宋体" w:eastAsia="黑体" w:cs="Times New Roman"/>
      <w:spacing w:val="-40"/>
      <w:sz w:val="48"/>
      <w:szCs w:val="52"/>
      <w:lang w:val="en-US" w:eastAsia="zh-CN" w:bidi="ar-SA"/>
    </w:rPr>
  </w:style>
  <w:style w:type="paragraph" w:customStyle="1" w:styleId="92">
    <w:name w:val="附录表标题"/>
    <w:basedOn w:val="1"/>
    <w:next w:val="23"/>
    <w:qFormat/>
    <w:uiPriority w:val="0"/>
    <w:pPr>
      <w:numPr>
        <w:ilvl w:val="1"/>
        <w:numId w:val="7"/>
      </w:numPr>
      <w:tabs>
        <w:tab w:val="left" w:pos="180"/>
      </w:tabs>
      <w:spacing w:before="50" w:beforeLines="50" w:after="50" w:afterLines="50"/>
      <w:ind w:left="0" w:firstLine="0"/>
      <w:jc w:val="center"/>
    </w:pPr>
    <w:rPr>
      <w:rFonts w:ascii="黑体" w:eastAsia="黑体"/>
      <w:szCs w:val="21"/>
    </w:rPr>
  </w:style>
  <w:style w:type="paragraph" w:customStyle="1" w:styleId="93">
    <w:name w:val="示例后文字"/>
    <w:basedOn w:val="23"/>
    <w:next w:val="23"/>
    <w:qFormat/>
    <w:uiPriority w:val="0"/>
    <w:pPr>
      <w:ind w:firstLine="360"/>
    </w:pPr>
    <w:rPr>
      <w:sz w:val="18"/>
    </w:rPr>
  </w:style>
  <w:style w:type="paragraph" w:customStyle="1" w:styleId="94">
    <w:name w:val="图的脚注"/>
    <w:next w:val="23"/>
    <w:qFormat/>
    <w:uiPriority w:val="0"/>
    <w:pPr>
      <w:widowControl w:val="0"/>
      <w:ind w:left="840" w:leftChars="200" w:hanging="420" w:hangingChars="200"/>
      <w:jc w:val="both"/>
    </w:pPr>
    <w:rPr>
      <w:rFonts w:ascii="宋体" w:hAnsi="Times New Roman" w:eastAsia="宋体" w:cs="Times New Roman"/>
      <w:sz w:val="18"/>
      <w:lang w:val="en-US" w:eastAsia="zh-CN" w:bidi="ar-SA"/>
    </w:rPr>
  </w:style>
  <w:style w:type="paragraph" w:customStyle="1" w:styleId="95">
    <w:name w:val="二级无"/>
    <w:basedOn w:val="64"/>
    <w:qFormat/>
    <w:uiPriority w:val="0"/>
    <w:pPr>
      <w:spacing w:before="0" w:beforeLines="0" w:after="0" w:afterLines="0"/>
    </w:pPr>
    <w:rPr>
      <w:rFonts w:ascii="宋体" w:eastAsia="宋体"/>
    </w:rPr>
  </w:style>
  <w:style w:type="paragraph" w:customStyle="1" w:styleId="96">
    <w:name w:val="附录五级无"/>
    <w:basedOn w:val="97"/>
    <w:qFormat/>
    <w:uiPriority w:val="0"/>
    <w:pPr>
      <w:tabs>
        <w:tab w:val="left" w:pos="360"/>
      </w:tabs>
      <w:spacing w:before="0" w:beforeLines="0" w:after="0" w:afterLines="0"/>
    </w:pPr>
    <w:rPr>
      <w:rFonts w:ascii="宋体" w:eastAsia="宋体"/>
      <w:szCs w:val="21"/>
    </w:rPr>
  </w:style>
  <w:style w:type="paragraph" w:customStyle="1" w:styleId="97">
    <w:name w:val="附录五级条标题"/>
    <w:basedOn w:val="98"/>
    <w:next w:val="23"/>
    <w:qFormat/>
    <w:uiPriority w:val="0"/>
    <w:pPr>
      <w:numPr>
        <w:ilvl w:val="6"/>
      </w:numPr>
      <w:tabs>
        <w:tab w:val="left" w:pos="360"/>
      </w:tabs>
      <w:outlineLvl w:val="6"/>
    </w:pPr>
  </w:style>
  <w:style w:type="paragraph" w:customStyle="1" w:styleId="98">
    <w:name w:val="附录四级条标题"/>
    <w:basedOn w:val="44"/>
    <w:next w:val="23"/>
    <w:qFormat/>
    <w:uiPriority w:val="0"/>
    <w:pPr>
      <w:numPr>
        <w:ilvl w:val="5"/>
      </w:numPr>
      <w:outlineLvl w:val="5"/>
    </w:pPr>
  </w:style>
  <w:style w:type="paragraph" w:customStyle="1" w:styleId="99">
    <w:name w:val="附录四级无"/>
    <w:basedOn w:val="98"/>
    <w:qFormat/>
    <w:uiPriority w:val="0"/>
    <w:pPr>
      <w:tabs>
        <w:tab w:val="clear" w:pos="360"/>
      </w:tabs>
      <w:spacing w:before="0" w:beforeLines="0" w:after="0" w:afterLines="0"/>
    </w:pPr>
    <w:rPr>
      <w:rFonts w:ascii="宋体" w:eastAsia="宋体"/>
      <w:szCs w:val="21"/>
    </w:rPr>
  </w:style>
  <w:style w:type="paragraph" w:customStyle="1" w:styleId="100">
    <w:name w:val="封面一致性程度标识2"/>
    <w:basedOn w:val="49"/>
    <w:qFormat/>
    <w:uiPriority w:val="0"/>
    <w:pPr>
      <w:framePr w:wrap="around" w:y="4469"/>
    </w:pPr>
  </w:style>
  <w:style w:type="paragraph" w:customStyle="1" w:styleId="101">
    <w:name w:val="标准称谓"/>
    <w:next w:val="1"/>
    <w:qFormat/>
    <w:uiPriority w:val="0"/>
    <w:pPr>
      <w:framePr w:w="9639" w:h="624" w:hRule="exact" w:hSpace="181" w:vSpace="181" w:wrap="around" w:vAnchor="page" w:hAnchor="page" w:x="1419" w:y="2286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 w:hAnsi="Times New Roman" w:eastAsia="宋体" w:cs="Times New Roman"/>
      <w:b/>
      <w:bCs/>
      <w:spacing w:val="20"/>
      <w:w w:val="148"/>
      <w:sz w:val="48"/>
      <w:lang w:val="en-US" w:eastAsia="zh-CN" w:bidi="ar-SA"/>
    </w:rPr>
  </w:style>
  <w:style w:type="paragraph" w:customStyle="1" w:styleId="102">
    <w:name w:val="示例×："/>
    <w:basedOn w:val="103"/>
    <w:qFormat/>
    <w:uiPriority w:val="0"/>
    <w:pPr>
      <w:numPr>
        <w:numId w:val="15"/>
      </w:numPr>
      <w:spacing w:before="0" w:beforeLines="0" w:after="0" w:afterLines="0"/>
      <w:outlineLvl w:val="9"/>
    </w:pPr>
    <w:rPr>
      <w:rFonts w:ascii="宋体" w:eastAsia="宋体"/>
      <w:sz w:val="18"/>
      <w:szCs w:val="18"/>
    </w:rPr>
  </w:style>
  <w:style w:type="paragraph" w:customStyle="1" w:styleId="103">
    <w:name w:val="章标题"/>
    <w:next w:val="23"/>
    <w:qFormat/>
    <w:uiPriority w:val="0"/>
    <w:pPr>
      <w:numPr>
        <w:ilvl w:val="0"/>
        <w:numId w:val="6"/>
      </w:numPr>
      <w:spacing w:before="312" w:beforeLines="100" w:after="312" w:afterLines="100"/>
      <w:jc w:val="both"/>
      <w:outlineLvl w:val="1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104">
    <w:name w:val="封面标准文稿类别2"/>
    <w:basedOn w:val="48"/>
    <w:qFormat/>
    <w:uiPriority w:val="0"/>
    <w:pPr>
      <w:framePr w:wrap="around" w:y="4469"/>
    </w:pPr>
  </w:style>
  <w:style w:type="paragraph" w:customStyle="1" w:styleId="105">
    <w:name w:val="一级无"/>
    <w:basedOn w:val="65"/>
    <w:qFormat/>
    <w:uiPriority w:val="0"/>
    <w:pPr>
      <w:spacing w:before="0" w:beforeLines="0" w:after="0" w:afterLines="0"/>
    </w:pPr>
    <w:rPr>
      <w:rFonts w:ascii="宋体" w:eastAsia="宋体"/>
    </w:rPr>
  </w:style>
  <w:style w:type="paragraph" w:customStyle="1" w:styleId="106">
    <w:name w:val="封面正文"/>
    <w:qFormat/>
    <w:uiPriority w:val="0"/>
    <w:pPr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07">
    <w:name w:val="封面标准名称2"/>
    <w:basedOn w:val="51"/>
    <w:qFormat/>
    <w:uiPriority w:val="0"/>
    <w:pPr>
      <w:framePr w:wrap="around" w:y="4469"/>
      <w:spacing w:before="630" w:beforeLines="630"/>
    </w:pPr>
  </w:style>
  <w:style w:type="paragraph" w:customStyle="1" w:styleId="108">
    <w:name w:val="图标脚注说明"/>
    <w:basedOn w:val="23"/>
    <w:qFormat/>
    <w:uiPriority w:val="0"/>
    <w:pPr>
      <w:ind w:left="840" w:hanging="420" w:firstLineChars="0"/>
    </w:pPr>
    <w:rPr>
      <w:sz w:val="18"/>
      <w:szCs w:val="18"/>
    </w:rPr>
  </w:style>
  <w:style w:type="paragraph" w:customStyle="1" w:styleId="109">
    <w:name w:val="附录标题"/>
    <w:basedOn w:val="23"/>
    <w:next w:val="23"/>
    <w:qFormat/>
    <w:uiPriority w:val="0"/>
    <w:pPr>
      <w:ind w:firstLine="0" w:firstLineChars="0"/>
      <w:jc w:val="center"/>
    </w:pPr>
    <w:rPr>
      <w:rFonts w:ascii="黑体" w:eastAsia="黑体"/>
    </w:rPr>
  </w:style>
  <w:style w:type="paragraph" w:customStyle="1" w:styleId="110">
    <w:name w:val="附录图标号"/>
    <w:basedOn w:val="1"/>
    <w:qFormat/>
    <w:uiPriority w:val="0"/>
    <w:pPr>
      <w:keepNext/>
      <w:pageBreakBefore/>
      <w:widowControl/>
      <w:numPr>
        <w:ilvl w:val="0"/>
        <w:numId w:val="4"/>
      </w:numPr>
      <w:spacing w:line="14" w:lineRule="exact"/>
      <w:ind w:left="0" w:firstLine="363"/>
      <w:jc w:val="center"/>
      <w:outlineLvl w:val="0"/>
    </w:pPr>
    <w:rPr>
      <w:color w:val="FFFFFF"/>
    </w:rPr>
  </w:style>
  <w:style w:type="paragraph" w:customStyle="1" w:styleId="111">
    <w:name w:val="前言、引言标题"/>
    <w:next w:val="23"/>
    <w:qFormat/>
    <w:uiPriority w:val="0"/>
    <w:pPr>
      <w:keepNext/>
      <w:pageBreakBefore/>
      <w:shd w:val="clear" w:color="FFFFFF" w:fill="FFFFFF"/>
      <w:spacing w:before="640" w:after="560"/>
      <w:jc w:val="center"/>
      <w:outlineLvl w:val="0"/>
    </w:pPr>
    <w:rPr>
      <w:rFonts w:ascii="黑体" w:hAnsi="Times New Roman" w:eastAsia="黑体" w:cs="Times New Roman"/>
      <w:sz w:val="32"/>
      <w:lang w:val="en-US" w:eastAsia="zh-CN" w:bidi="ar-SA"/>
    </w:rPr>
  </w:style>
  <w:style w:type="paragraph" w:customStyle="1" w:styleId="112">
    <w:name w:val="封面标准代替信息"/>
    <w:qFormat/>
    <w:uiPriority w:val="0"/>
    <w:pPr>
      <w:framePr w:w="9140" w:h="1242" w:hRule="exact" w:hSpace="284" w:wrap="around" w:vAnchor="page" w:hAnchor="page" w:x="1645" w:y="2910" w:anchorLock="1"/>
      <w:spacing w:before="57" w:line="280" w:lineRule="exact"/>
      <w:jc w:val="right"/>
    </w:pPr>
    <w:rPr>
      <w:rFonts w:ascii="宋体" w:hAnsi="Times New Roman" w:eastAsia="宋体" w:cs="Times New Roman"/>
      <w:sz w:val="21"/>
      <w:szCs w:val="21"/>
      <w:lang w:val="en-US" w:eastAsia="zh-CN" w:bidi="ar-SA"/>
    </w:rPr>
  </w:style>
  <w:style w:type="paragraph" w:customStyle="1" w:styleId="113">
    <w:name w:val="正文公式编号制表符"/>
    <w:basedOn w:val="23"/>
    <w:next w:val="23"/>
    <w:qFormat/>
    <w:uiPriority w:val="0"/>
    <w:pPr>
      <w:ind w:firstLine="0" w:firstLineChars="0"/>
    </w:pPr>
  </w:style>
  <w:style w:type="paragraph" w:customStyle="1" w:styleId="114">
    <w:name w:val="附录字母编号列项（一级）"/>
    <w:qFormat/>
    <w:uiPriority w:val="0"/>
    <w:pPr>
      <w:numPr>
        <w:ilvl w:val="0"/>
        <w:numId w:val="8"/>
      </w:numPr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15">
    <w:name w:val="列项说明数字编号"/>
    <w:qFormat/>
    <w:uiPriority w:val="0"/>
    <w:pPr>
      <w:ind w:left="600" w:leftChars="400" w:hanging="200" w:hangingChars="200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16">
    <w:name w:val="三级无"/>
    <w:basedOn w:val="63"/>
    <w:qFormat/>
    <w:uiPriority w:val="0"/>
    <w:pPr>
      <w:spacing w:before="0" w:beforeLines="0" w:after="0" w:afterLines="0"/>
    </w:pPr>
    <w:rPr>
      <w:rFonts w:ascii="宋体" w:eastAsia="宋体"/>
    </w:rPr>
  </w:style>
  <w:style w:type="paragraph" w:customStyle="1" w:styleId="117">
    <w:name w:val="注：（正文）"/>
    <w:basedOn w:val="70"/>
    <w:next w:val="23"/>
    <w:qFormat/>
    <w:uiPriority w:val="0"/>
  </w:style>
  <w:style w:type="paragraph" w:customStyle="1" w:styleId="118">
    <w:name w:val="其他实施日期"/>
    <w:basedOn w:val="54"/>
    <w:qFormat/>
    <w:uiPriority w:val="0"/>
    <w:pPr>
      <w:framePr w:wrap="around"/>
    </w:pPr>
  </w:style>
  <w:style w:type="paragraph" w:customStyle="1" w:styleId="119">
    <w:name w:val="数字编号列项（二级）"/>
    <w:qFormat/>
    <w:uiPriority w:val="0"/>
    <w:pPr>
      <w:numPr>
        <w:ilvl w:val="1"/>
        <w:numId w:val="16"/>
      </w:numPr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20">
    <w:name w:val="目次、索引正文"/>
    <w:qFormat/>
    <w:uiPriority w:val="0"/>
    <w:pPr>
      <w:spacing w:line="320" w:lineRule="exact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21">
    <w:name w:val="其他发布日期"/>
    <w:basedOn w:val="55"/>
    <w:qFormat/>
    <w:uiPriority w:val="0"/>
    <w:pPr>
      <w:framePr w:wrap="around" w:vAnchor="page" w:hAnchor="text" w:x="1419"/>
    </w:pPr>
  </w:style>
  <w:style w:type="paragraph" w:customStyle="1" w:styleId="122">
    <w:name w:val="附录公式编号制表符"/>
    <w:basedOn w:val="1"/>
    <w:next w:val="23"/>
    <w:qFormat/>
    <w:uiPriority w:val="0"/>
    <w:pPr>
      <w:widowControl/>
      <w:tabs>
        <w:tab w:val="center" w:pos="4201"/>
        <w:tab w:val="right" w:leader="dot" w:pos="9298"/>
      </w:tabs>
      <w:autoSpaceDE w:val="0"/>
      <w:autoSpaceDN w:val="0"/>
    </w:pPr>
    <w:rPr>
      <w:rFonts w:ascii="宋体"/>
      <w:kern w:val="0"/>
      <w:szCs w:val="20"/>
    </w:rPr>
  </w:style>
  <w:style w:type="paragraph" w:customStyle="1" w:styleId="123">
    <w:name w:val="附录标识"/>
    <w:basedOn w:val="1"/>
    <w:next w:val="23"/>
    <w:qFormat/>
    <w:uiPriority w:val="0"/>
    <w:pPr>
      <w:keepNext/>
      <w:widowControl/>
      <w:numPr>
        <w:ilvl w:val="0"/>
        <w:numId w:val="3"/>
      </w:numPr>
      <w:shd w:val="clear" w:color="FFFFFF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124">
    <w:name w:val="列项◆（三级）"/>
    <w:basedOn w:val="1"/>
    <w:qFormat/>
    <w:uiPriority w:val="0"/>
    <w:pPr>
      <w:numPr>
        <w:ilvl w:val="2"/>
        <w:numId w:val="5"/>
      </w:numPr>
    </w:pPr>
    <w:rPr>
      <w:rFonts w:ascii="宋体"/>
      <w:szCs w:val="21"/>
    </w:rPr>
  </w:style>
  <w:style w:type="paragraph" w:customStyle="1" w:styleId="125">
    <w:name w:val="编号列项（三级）"/>
    <w:qFormat/>
    <w:uiPriority w:val="0"/>
    <w:pPr>
      <w:numPr>
        <w:ilvl w:val="2"/>
        <w:numId w:val="16"/>
      </w:numPr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26">
    <w:name w:val="图表脚注说明"/>
    <w:basedOn w:val="1"/>
    <w:qFormat/>
    <w:uiPriority w:val="0"/>
    <w:pPr>
      <w:numPr>
        <w:ilvl w:val="0"/>
        <w:numId w:val="17"/>
      </w:numPr>
    </w:pPr>
    <w:rPr>
      <w:rFonts w:ascii="宋体"/>
      <w:sz w:val="18"/>
      <w:szCs w:val="18"/>
    </w:rPr>
  </w:style>
  <w:style w:type="paragraph" w:customStyle="1" w:styleId="127">
    <w:name w:val="字母编号列项（一级）"/>
    <w:qFormat/>
    <w:uiPriority w:val="0"/>
    <w:pPr>
      <w:numPr>
        <w:ilvl w:val="0"/>
        <w:numId w:val="16"/>
      </w:numPr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28">
    <w:name w:val="标准书脚_偶数页"/>
    <w:qFormat/>
    <w:uiPriority w:val="0"/>
    <w:pPr>
      <w:spacing w:before="120"/>
      <w:ind w:left="221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129">
    <w:name w:val="文献分类号"/>
    <w:qFormat/>
    <w:uiPriority w:val="0"/>
    <w:pPr>
      <w:framePr w:hSpace="180" w:vSpace="180" w:wrap="around" w:vAnchor="margin" w:hAnchor="margin" w:y="1" w:anchorLock="1"/>
      <w:widowControl w:val="0"/>
      <w:textAlignment w:val="center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130">
    <w:name w:val="五级无"/>
    <w:basedOn w:val="61"/>
    <w:qFormat/>
    <w:uiPriority w:val="0"/>
    <w:pPr>
      <w:spacing w:before="0" w:beforeLines="0" w:after="0" w:afterLines="0"/>
    </w:pPr>
    <w:rPr>
      <w:rFonts w:ascii="宋体" w:eastAsia="宋体"/>
    </w:rPr>
  </w:style>
  <w:style w:type="paragraph" w:customStyle="1" w:styleId="131">
    <w:name w:val="封面标准号2"/>
    <w:qFormat/>
    <w:uiPriority w:val="0"/>
    <w:pPr>
      <w:framePr w:w="9140" w:h="1242" w:hRule="exact" w:hSpace="284" w:wrap="around" w:vAnchor="page" w:hAnchor="page" w:x="1645" w:y="2910" w:anchorLock="1"/>
      <w:spacing w:before="357" w:line="280" w:lineRule="exact"/>
      <w:jc w:val="right"/>
    </w:pPr>
    <w:rPr>
      <w:rFonts w:ascii="黑体" w:hAnsi="Times New Roman" w:eastAsia="黑体" w:cs="Times New Roman"/>
      <w:sz w:val="28"/>
      <w:szCs w:val="28"/>
      <w:lang w:val="en-US" w:eastAsia="zh-CN" w:bidi="ar-SA"/>
    </w:rPr>
  </w:style>
  <w:style w:type="paragraph" w:customStyle="1" w:styleId="132">
    <w:name w:val="封面标准英文名称2"/>
    <w:basedOn w:val="50"/>
    <w:qFormat/>
    <w:uiPriority w:val="0"/>
    <w:pPr>
      <w:framePr w:wrap="around" w:y="4469"/>
    </w:pPr>
  </w:style>
  <w:style w:type="character" w:customStyle="1" w:styleId="133">
    <w:name w:val="段 Char"/>
    <w:basedOn w:val="34"/>
    <w:link w:val="23"/>
    <w:qFormat/>
    <w:uiPriority w:val="0"/>
    <w:rPr>
      <w:rFonts w:ascii="宋体"/>
      <w:sz w:val="21"/>
      <w:lang w:val="en-US" w:eastAsia="zh-CN" w:bidi="ar-SA"/>
    </w:rPr>
  </w:style>
  <w:style w:type="character" w:customStyle="1" w:styleId="134">
    <w:name w:val="首示例 Char"/>
    <w:basedOn w:val="34"/>
    <w:link w:val="41"/>
    <w:qFormat/>
    <w:uiPriority w:val="0"/>
    <w:rPr>
      <w:rFonts w:ascii="宋体" w:hAnsi="宋体"/>
      <w:kern w:val="2"/>
      <w:sz w:val="18"/>
      <w:szCs w:val="18"/>
      <w:lang w:val="en-US" w:eastAsia="zh-CN" w:bidi="ar-SA"/>
    </w:rPr>
  </w:style>
  <w:style w:type="character" w:customStyle="1" w:styleId="135">
    <w:name w:val="发布"/>
    <w:basedOn w:val="34"/>
    <w:qFormat/>
    <w:uiPriority w:val="0"/>
    <w:rPr>
      <w:rFonts w:ascii="黑体" w:eastAsia="黑体"/>
      <w:spacing w:val="85"/>
      <w:w w:val="100"/>
      <w:position w:val="3"/>
      <w:sz w:val="28"/>
      <w:szCs w:val="28"/>
    </w:rPr>
  </w:style>
  <w:style w:type="character" w:customStyle="1" w:styleId="136">
    <w:name w:val="附录公式 Char"/>
    <w:basedOn w:val="133"/>
    <w:link w:val="42"/>
    <w:qFormat/>
    <w:uiPriority w:val="0"/>
    <w:rPr>
      <w:rFonts w:ascii="宋体"/>
      <w:sz w:val="21"/>
      <w:lang w:val="en-US" w:eastAsia="zh-CN" w:bidi="ar-SA"/>
    </w:rPr>
  </w:style>
  <w:style w:type="paragraph" w:styleId="137">
    <w:name w:val="List Paragraph"/>
    <w:basedOn w:val="1"/>
    <w:qFormat/>
    <w:uiPriority w:val="1"/>
    <w:pPr>
      <w:ind w:left="953" w:hanging="736"/>
    </w:pPr>
  </w:style>
  <w:style w:type="paragraph" w:customStyle="1" w:styleId="138">
    <w:name w:val="Table Paragraph"/>
    <w:basedOn w:val="1"/>
    <w:qFormat/>
    <w:uiPriority w:val="1"/>
    <w:pPr>
      <w:spacing w:before="40"/>
      <w:ind w:left="136"/>
      <w:jc w:val="center"/>
    </w:pPr>
  </w:style>
</w:style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microsoft.com/office/2006/relationships/keyMapCustomizations" Target="customizations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zle</Company>
  <Pages>15</Pages>
  <Words>6546</Words>
  <Characters>7448</Characters>
  <Lines>80</Lines>
  <Paragraphs>22</Paragraphs>
  <TotalTime>0</TotalTime>
  <ScaleCrop>false</ScaleCrop>
  <LinksUpToDate>false</LinksUpToDate>
  <CharactersWithSpaces>8038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2021-04-23T06:14:00Z</dcterms:created>
  <dc:creator>CNIS</dc:creator>
  <cp:lastModifiedBy>admin</cp:lastModifiedBy>
  <cp:lastPrinted>2023-07-28T06:44:00Z</cp:lastPrinted>
  <dcterms:modified xsi:type="dcterms:W3CDTF">2025-04-21T01:21:43Z</dcterms:modified>
  <dc:title>标准名称</dc:title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  <property fmtid="{D5CDD505-2E9C-101B-9397-08002B2CF9AE}" pid="3" name="ICV">
    <vt:lpwstr>5D0F152B35184BBF969687D43F9BE786</vt:lpwstr>
  </property>
</Properties>
</file>