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b/>
          <w:spacing w:val="0"/>
          <w:sz w:val="32"/>
          <w:szCs w:val="32"/>
        </w:rPr>
      </w:pPr>
      <w:r>
        <w:rPr>
          <w:rFonts w:hint="eastAsia"/>
          <w:b/>
          <w:spacing w:val="0"/>
          <w:sz w:val="32"/>
          <w:szCs w:val="32"/>
          <w:lang w:eastAsia="zh-CN"/>
        </w:rPr>
        <w:t>广东省</w:t>
      </w:r>
      <w:r>
        <w:rPr>
          <w:rFonts w:hint="eastAsia"/>
          <w:b/>
          <w:spacing w:val="0"/>
          <w:sz w:val="32"/>
          <w:szCs w:val="32"/>
        </w:rPr>
        <w:t>地方标准“杨桃</w:t>
      </w:r>
      <w:r>
        <w:rPr>
          <w:rFonts w:hint="eastAsia"/>
          <w:b/>
          <w:spacing w:val="0"/>
          <w:sz w:val="32"/>
          <w:szCs w:val="32"/>
          <w:lang w:eastAsia="zh-CN"/>
        </w:rPr>
        <w:t>栽培</w:t>
      </w:r>
      <w:r>
        <w:rPr>
          <w:rFonts w:hint="eastAsia"/>
          <w:b/>
          <w:spacing w:val="0"/>
          <w:sz w:val="32"/>
          <w:szCs w:val="32"/>
        </w:rPr>
        <w:t>技术规程”编制说明</w:t>
      </w:r>
    </w:p>
    <w:p>
      <w:pPr>
        <w:spacing w:line="500" w:lineRule="exact"/>
        <w:jc w:val="center"/>
        <w:rPr>
          <w:b/>
          <w:spacing w:val="0"/>
          <w:sz w:val="32"/>
          <w:szCs w:val="32"/>
        </w:rPr>
      </w:pPr>
    </w:p>
    <w:p>
      <w:pPr>
        <w:numPr>
          <w:ilvl w:val="0"/>
          <w:numId w:val="1"/>
        </w:numPr>
        <w:spacing w:line="500" w:lineRule="exact"/>
        <w:rPr>
          <w:b/>
          <w:spacing w:val="0"/>
          <w:sz w:val="28"/>
          <w:szCs w:val="28"/>
        </w:rPr>
      </w:pPr>
      <w:r>
        <w:rPr>
          <w:rFonts w:hint="eastAsia"/>
          <w:b/>
          <w:spacing w:val="0"/>
          <w:sz w:val="28"/>
          <w:szCs w:val="28"/>
        </w:rPr>
        <w:t>制标背景、目的</w:t>
      </w:r>
    </w:p>
    <w:p>
      <w:pPr>
        <w:spacing w:line="500" w:lineRule="exact"/>
        <w:ind w:firstLine="520" w:firstLineChars="200"/>
        <w:rPr>
          <w:rFonts w:ascii="Times New Roman"/>
          <w:bCs w:val="0"/>
          <w:sz w:val="28"/>
          <w:szCs w:val="28"/>
        </w:rPr>
      </w:pPr>
      <w:r>
        <w:rPr>
          <w:rFonts w:hint="eastAsia" w:ascii="Times New Roman"/>
          <w:bCs w:val="0"/>
          <w:sz w:val="28"/>
          <w:szCs w:val="28"/>
        </w:rPr>
        <w:t>杨桃在我国栽培历史悠久，是南方重要的水果之一。果实芳香清甜、果汁充沛，具有消食、降火等功效，风味独特，深受消费者喜欢。除鲜食外，常加工成杨桃脯、杨桃干等产品，该类产品广受好评。目前，广东省杨桃商业栽培面积约为1万亩，其中汕尾市杨桃果品质高、效益好在业内外广受好评。目前，汕尾市杨桃果实售价高、栽种效益好已得到种植者认可，有进入快速发展的趋势。因此，为了保障杨桃产业的快速、可持续发展，加速科研成果转化，有必要制定汕尾市“杨桃生产技术规程”地方标准。</w:t>
      </w:r>
    </w:p>
    <w:p>
      <w:pPr>
        <w:numPr>
          <w:ilvl w:val="0"/>
          <w:numId w:val="1"/>
        </w:numPr>
        <w:spacing w:line="500" w:lineRule="exact"/>
        <w:rPr>
          <w:b/>
          <w:spacing w:val="0"/>
          <w:sz w:val="28"/>
          <w:szCs w:val="28"/>
        </w:rPr>
      </w:pPr>
      <w:r>
        <w:rPr>
          <w:rFonts w:hint="eastAsia"/>
          <w:b/>
          <w:spacing w:val="0"/>
          <w:sz w:val="28"/>
          <w:szCs w:val="28"/>
        </w:rPr>
        <w:t>制标依据和基础</w:t>
      </w:r>
    </w:p>
    <w:p>
      <w:pPr>
        <w:spacing w:line="500" w:lineRule="exact"/>
        <w:ind w:firstLine="52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广东省农科院果树研究所长期从事杨桃科研和生产工作，在杨桃生产技术研究方面成果突出。积极开展杨桃生产实践，与汕尾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惠州</w:t>
      </w:r>
      <w:r>
        <w:rPr>
          <w:rFonts w:hint="eastAsia"/>
          <w:sz w:val="28"/>
          <w:szCs w:val="28"/>
          <w:lang w:eastAsia="zh-CN"/>
        </w:rPr>
        <w:t>、茂名</w:t>
      </w:r>
      <w:r>
        <w:rPr>
          <w:rFonts w:hint="eastAsia"/>
          <w:sz w:val="28"/>
          <w:szCs w:val="28"/>
        </w:rPr>
        <w:t>等地的杨桃生产者，针对杨桃生产过程中存在的营养生长旺盛、果实品质良莠不齐等关键问题，进行了多种方法的试验实践，经多年的技术改进，提出了一套成熟的杨桃</w:t>
      </w:r>
      <w:r>
        <w:rPr>
          <w:rFonts w:hint="eastAsia"/>
          <w:sz w:val="28"/>
          <w:szCs w:val="28"/>
          <w:lang w:eastAsia="zh-CN"/>
        </w:rPr>
        <w:t>栽培</w:t>
      </w:r>
      <w:r>
        <w:rPr>
          <w:rFonts w:hint="eastAsia"/>
          <w:sz w:val="28"/>
          <w:szCs w:val="28"/>
        </w:rPr>
        <w:t>技术。上述的工作累积，为制定</w:t>
      </w:r>
      <w:r>
        <w:rPr>
          <w:rFonts w:hint="eastAsia"/>
          <w:sz w:val="28"/>
          <w:szCs w:val="28"/>
          <w:lang w:eastAsia="zh-CN"/>
        </w:rPr>
        <w:t>广东省</w:t>
      </w:r>
      <w:r>
        <w:rPr>
          <w:rFonts w:hint="eastAsia"/>
          <w:sz w:val="28"/>
          <w:szCs w:val="28"/>
        </w:rPr>
        <w:t>地方标准“杨桃</w:t>
      </w:r>
      <w:r>
        <w:rPr>
          <w:rFonts w:hint="eastAsia"/>
          <w:sz w:val="28"/>
          <w:szCs w:val="28"/>
          <w:lang w:eastAsia="zh-CN"/>
        </w:rPr>
        <w:t>栽培</w:t>
      </w:r>
      <w:r>
        <w:rPr>
          <w:rFonts w:hint="eastAsia"/>
          <w:sz w:val="28"/>
          <w:szCs w:val="28"/>
        </w:rPr>
        <w:t>技术规程”，打下了坚实的基础。</w:t>
      </w:r>
    </w:p>
    <w:p>
      <w:pPr>
        <w:numPr>
          <w:ilvl w:val="0"/>
          <w:numId w:val="1"/>
        </w:numPr>
        <w:spacing w:line="500" w:lineRule="exact"/>
        <w:rPr>
          <w:b/>
          <w:spacing w:val="0"/>
          <w:sz w:val="28"/>
          <w:szCs w:val="28"/>
        </w:rPr>
      </w:pPr>
      <w:r>
        <w:rPr>
          <w:rFonts w:hint="eastAsia"/>
          <w:b/>
          <w:spacing w:val="0"/>
          <w:sz w:val="28"/>
          <w:szCs w:val="28"/>
        </w:rPr>
        <w:t>制标过程</w:t>
      </w:r>
    </w:p>
    <w:p>
      <w:pPr>
        <w:spacing w:line="500" w:lineRule="exact"/>
        <w:ind w:firstLine="560" w:firstLineChars="200"/>
        <w:rPr>
          <w:spacing w:val="0"/>
          <w:sz w:val="28"/>
          <w:szCs w:val="28"/>
        </w:rPr>
      </w:pPr>
      <w:r>
        <w:rPr>
          <w:rFonts w:hint="eastAsia"/>
          <w:spacing w:val="0"/>
          <w:sz w:val="28"/>
          <w:szCs w:val="28"/>
        </w:rPr>
        <w:t>承担任务后，首先成立了以彭程</w:t>
      </w:r>
      <w:r>
        <w:rPr>
          <w:rFonts w:hint="eastAsia"/>
          <w:spacing w:val="0"/>
          <w:sz w:val="28"/>
          <w:szCs w:val="28"/>
          <w:lang w:eastAsia="zh-CN"/>
        </w:rPr>
        <w:t>副研究员</w:t>
      </w:r>
      <w:r>
        <w:rPr>
          <w:rFonts w:hint="eastAsia"/>
          <w:spacing w:val="0"/>
          <w:sz w:val="28"/>
          <w:szCs w:val="28"/>
        </w:rPr>
        <w:t>为组长并执笔，邱继水研究员、陆育生研究员、常晓晓副研究员、陈慧琼助理研究员、</w:t>
      </w:r>
      <w:r>
        <w:rPr>
          <w:rFonts w:hint="eastAsia"/>
          <w:spacing w:val="0"/>
          <w:sz w:val="28"/>
          <w:szCs w:val="28"/>
          <w:lang w:eastAsia="zh-CN"/>
        </w:rPr>
        <w:t>柯杰</w:t>
      </w:r>
      <w:r>
        <w:rPr>
          <w:rFonts w:hint="eastAsia"/>
          <w:spacing w:val="0"/>
          <w:sz w:val="28"/>
          <w:szCs w:val="28"/>
        </w:rPr>
        <w:t>助理研究员为成员的制标小组，根据《广东省地方标准管理办法》的要求开展工作。在总结过去经验、广泛调查、收集相关资料的基础上，完成草案稿、小组讨论稿、征求意见稿等工作程序。</w:t>
      </w:r>
    </w:p>
    <w:p>
      <w:pPr>
        <w:pStyle w:val="2"/>
        <w:ind w:firstLine="560"/>
      </w:pPr>
    </w:p>
    <w:p>
      <w:pPr>
        <w:numPr>
          <w:ilvl w:val="0"/>
          <w:numId w:val="1"/>
        </w:numPr>
        <w:spacing w:line="500" w:lineRule="exact"/>
        <w:rPr>
          <w:b/>
          <w:spacing w:val="0"/>
          <w:sz w:val="28"/>
          <w:szCs w:val="28"/>
        </w:rPr>
      </w:pPr>
      <w:r>
        <w:rPr>
          <w:rFonts w:hint="eastAsia"/>
          <w:b/>
          <w:spacing w:val="0"/>
          <w:sz w:val="28"/>
          <w:szCs w:val="28"/>
        </w:rPr>
        <w:t>需要说明的技术问题</w:t>
      </w:r>
    </w:p>
    <w:p>
      <w:pPr>
        <w:spacing w:line="500" w:lineRule="exact"/>
        <w:ind w:firstLine="280" w:firstLineChars="100"/>
        <w:rPr>
          <w:b/>
          <w:spacing w:val="0"/>
          <w:sz w:val="28"/>
          <w:szCs w:val="28"/>
        </w:rPr>
      </w:pPr>
      <w:r>
        <w:rPr>
          <w:rFonts w:hint="eastAsia" w:cs="宋体"/>
          <w:spacing w:val="0"/>
          <w:sz w:val="28"/>
          <w:szCs w:val="28"/>
        </w:rPr>
        <w:t>1、通过杨桃生产技术改进的自身实践，总结自身、汕尾市</w:t>
      </w:r>
      <w:r>
        <w:rPr>
          <w:rFonts w:hint="eastAsia"/>
          <w:sz w:val="28"/>
          <w:szCs w:val="28"/>
        </w:rPr>
        <w:t>多家农业企业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惠州</w:t>
      </w:r>
      <w:r>
        <w:rPr>
          <w:rFonts w:hint="eastAsia"/>
          <w:sz w:val="28"/>
          <w:szCs w:val="28"/>
          <w:lang w:eastAsia="zh-CN"/>
        </w:rPr>
        <w:t>、茂名</w:t>
      </w:r>
      <w:r>
        <w:rPr>
          <w:rFonts w:hint="eastAsia"/>
          <w:sz w:val="28"/>
          <w:szCs w:val="28"/>
        </w:rPr>
        <w:t>等地的生产</w:t>
      </w:r>
      <w:r>
        <w:rPr>
          <w:rFonts w:hint="eastAsia" w:cs="宋体"/>
          <w:spacing w:val="0"/>
          <w:sz w:val="28"/>
          <w:szCs w:val="28"/>
        </w:rPr>
        <w:t>经验，提出本标准“建园、育苗、栽植、果园管理、自然灾害防控、病虫害防治、采收与采后”的关键技术规范</w:t>
      </w:r>
      <w:r>
        <w:rPr>
          <w:rFonts w:hint="eastAsia"/>
          <w:sz w:val="28"/>
          <w:szCs w:val="28"/>
        </w:rPr>
        <w:t>。</w:t>
      </w:r>
    </w:p>
    <w:p>
      <w:pPr>
        <w:spacing w:line="500" w:lineRule="exact"/>
        <w:ind w:firstLine="280" w:firstLineChars="100"/>
        <w:rPr>
          <w:rFonts w:cs="宋体"/>
          <w:spacing w:val="0"/>
          <w:sz w:val="28"/>
          <w:szCs w:val="28"/>
        </w:rPr>
      </w:pPr>
      <w:r>
        <w:rPr>
          <w:rFonts w:hint="eastAsia" w:cs="宋体"/>
          <w:spacing w:val="0"/>
          <w:sz w:val="28"/>
          <w:szCs w:val="28"/>
        </w:rPr>
        <w:t>2、选取潮州酸杨桃作为育苗砧木是本标准的关键技术之一。潮州酸杨桃其主要特点：树势壮旺，枝条粗壮。其作为砧木具有耐旱涝、抗病能力强等有点。</w:t>
      </w:r>
    </w:p>
    <w:p>
      <w:pPr>
        <w:spacing w:line="500" w:lineRule="exact"/>
        <w:ind w:firstLine="280" w:firstLineChars="100"/>
        <w:rPr>
          <w:sz w:val="28"/>
          <w:szCs w:val="28"/>
        </w:rPr>
      </w:pPr>
      <w:r>
        <w:rPr>
          <w:rFonts w:hint="eastAsia" w:cs="宋体"/>
          <w:spacing w:val="0"/>
          <w:sz w:val="28"/>
          <w:szCs w:val="28"/>
        </w:rPr>
        <w:t>3、</w:t>
      </w:r>
      <w:r>
        <w:rPr>
          <w:rFonts w:hint="eastAsia"/>
          <w:sz w:val="28"/>
          <w:szCs w:val="28"/>
        </w:rPr>
        <w:t>套袋技术是本标准的关键技术之二。通过使用遮光性强、防水能力好的白色纸袋套袋，可实现果皮嫩黄鲜亮、着色均匀，大大提升了果实外观品质。此外杨桃果柄和枝条连接处脆弱，容易被风吹落，通过将果袋固定在结果枝组上能有效避免风害，减少果品损伤，提高成果率。</w:t>
      </w:r>
    </w:p>
    <w:p>
      <w:pPr>
        <w:spacing w:line="500" w:lineRule="exact"/>
        <w:ind w:firstLine="260" w:firstLineChars="100"/>
        <w:rPr>
          <w:rFonts w:cs="宋体"/>
          <w:spacing w:val="0"/>
          <w:sz w:val="28"/>
          <w:szCs w:val="28"/>
        </w:rPr>
      </w:pPr>
      <w:r>
        <w:rPr>
          <w:rFonts w:hint="eastAsia"/>
          <w:sz w:val="28"/>
          <w:szCs w:val="28"/>
        </w:rPr>
        <w:t>4、“等”“级”果品分级标准是本标准的关键技术之三。通过重量大小规定“等”，</w:t>
      </w:r>
      <w:r>
        <w:rPr>
          <w:rFonts w:hint="eastAsia" w:cs="宋体"/>
          <w:spacing w:val="0"/>
          <w:sz w:val="28"/>
          <w:szCs w:val="28"/>
        </w:rPr>
        <w:t>通过可溶性固形物、化渣率规定“级”，提高商品果率。</w:t>
      </w:r>
    </w:p>
    <w:p>
      <w:pPr>
        <w:spacing w:line="500" w:lineRule="exact"/>
        <w:ind w:firstLine="52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5、本文件按照GB/T 1.1—2020《标准化工作导则 第1部分：标准化文件的结构和起草规则》的规定起草。建议本标准通过专家审查后，作为推荐性标准发布。</w:t>
      </w:r>
    </w:p>
    <w:p>
      <w:pPr>
        <w:spacing w:line="500" w:lineRule="exact"/>
        <w:rPr>
          <w:rFonts w:cs="宋体"/>
          <w:spacing w:val="0"/>
          <w:sz w:val="28"/>
          <w:szCs w:val="28"/>
        </w:rPr>
      </w:pPr>
      <w:r>
        <w:rPr>
          <w:rFonts w:hint="eastAsia" w:cs="宋体"/>
          <w:spacing w:val="0"/>
          <w:sz w:val="28"/>
          <w:szCs w:val="28"/>
        </w:rPr>
        <w:t xml:space="preserve">                           </w:t>
      </w:r>
    </w:p>
    <w:p>
      <w:pPr>
        <w:spacing w:line="500" w:lineRule="exact"/>
        <w:rPr>
          <w:rFonts w:cs="宋体"/>
          <w:spacing w:val="0"/>
          <w:sz w:val="28"/>
          <w:szCs w:val="28"/>
        </w:rPr>
      </w:pPr>
    </w:p>
    <w:p>
      <w:pPr>
        <w:spacing w:line="500" w:lineRule="exact"/>
        <w:ind w:firstLine="4550" w:firstLineChars="1750"/>
        <w:rPr>
          <w:rFonts w:cs="宋体"/>
          <w:spacing w:val="0"/>
          <w:sz w:val="28"/>
          <w:szCs w:val="28"/>
        </w:rPr>
      </w:pPr>
      <w:r>
        <w:rPr>
          <w:rFonts w:hint="eastAsia" w:cs="宋体"/>
          <w:kern w:val="0"/>
          <w:sz w:val="28"/>
          <w:szCs w:val="28"/>
        </w:rPr>
        <w:t>杨桃</w:t>
      </w:r>
      <w:r>
        <w:rPr>
          <w:rFonts w:hint="eastAsia" w:cs="宋体"/>
          <w:kern w:val="0"/>
          <w:sz w:val="28"/>
          <w:szCs w:val="28"/>
          <w:lang w:eastAsia="zh-CN"/>
        </w:rPr>
        <w:t>栽培</w:t>
      </w:r>
      <w:r>
        <w:rPr>
          <w:rFonts w:hint="eastAsia" w:cs="宋体"/>
          <w:kern w:val="0"/>
          <w:sz w:val="28"/>
          <w:szCs w:val="28"/>
        </w:rPr>
        <w:t>技术规程</w:t>
      </w:r>
      <w:r>
        <w:rPr>
          <w:rFonts w:hint="eastAsia" w:cs="宋体"/>
          <w:spacing w:val="0"/>
          <w:sz w:val="28"/>
          <w:szCs w:val="28"/>
        </w:rPr>
        <w:t>制标小组</w:t>
      </w:r>
    </w:p>
    <w:p>
      <w:pPr>
        <w:spacing w:line="500" w:lineRule="exact"/>
        <w:ind w:left="720"/>
        <w:rPr>
          <w:rFonts w:cs="宋体"/>
          <w:spacing w:val="0"/>
          <w:sz w:val="28"/>
          <w:szCs w:val="28"/>
        </w:rPr>
      </w:pPr>
      <w:r>
        <w:rPr>
          <w:rFonts w:hint="eastAsia" w:cs="宋体"/>
          <w:spacing w:val="0"/>
          <w:sz w:val="28"/>
          <w:szCs w:val="28"/>
        </w:rPr>
        <w:t xml:space="preserve">                                 202</w:t>
      </w:r>
      <w:r>
        <w:rPr>
          <w:rFonts w:hint="eastAsia" w:cs="宋体"/>
          <w:spacing w:val="0"/>
          <w:sz w:val="28"/>
          <w:szCs w:val="28"/>
          <w:lang w:val="en-US" w:eastAsia="zh-CN"/>
        </w:rPr>
        <w:t>4</w:t>
      </w:r>
      <w:r>
        <w:rPr>
          <w:rFonts w:hint="eastAsia" w:cs="宋体"/>
          <w:spacing w:val="0"/>
          <w:sz w:val="28"/>
          <w:szCs w:val="28"/>
        </w:rPr>
        <w:t>年1</w:t>
      </w:r>
      <w:r>
        <w:rPr>
          <w:rFonts w:hint="eastAsia" w:cs="宋体"/>
          <w:spacing w:val="0"/>
          <w:sz w:val="28"/>
          <w:szCs w:val="28"/>
          <w:lang w:val="en-US" w:eastAsia="zh-CN"/>
        </w:rPr>
        <w:t>2</w:t>
      </w:r>
      <w:r>
        <w:rPr>
          <w:rFonts w:hint="eastAsia" w:cs="宋体"/>
          <w:spacing w:val="0"/>
          <w:sz w:val="28"/>
          <w:szCs w:val="28"/>
        </w:rPr>
        <w:t>月</w:t>
      </w:r>
      <w:r>
        <w:rPr>
          <w:rFonts w:hint="eastAsia" w:cs="宋体"/>
          <w:spacing w:val="0"/>
          <w:sz w:val="28"/>
          <w:szCs w:val="28"/>
          <w:lang w:val="en-US" w:eastAsia="zh-CN"/>
        </w:rPr>
        <w:t>27</w:t>
      </w:r>
      <w:bookmarkStart w:id="0" w:name="_GoBack"/>
      <w:bookmarkEnd w:id="0"/>
      <w:r>
        <w:rPr>
          <w:rFonts w:hint="eastAsia" w:cs="宋体"/>
          <w:spacing w:val="0"/>
          <w:sz w:val="28"/>
          <w:szCs w:val="28"/>
        </w:rPr>
        <w:t xml:space="preserve">日 </w:t>
      </w:r>
    </w:p>
    <w:p/>
    <w:sectPr>
      <w:headerReference r:id="rId3" w:type="default"/>
      <w:footerReference r:id="rId4" w:type="default"/>
      <w:footerReference r:id="rId5" w:type="even"/>
      <w:pgSz w:w="11340" w:h="15706"/>
      <w:pgMar w:top="1559" w:right="890" w:bottom="873" w:left="202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2</w:t>
    </w:r>
    <w:r>
      <w:rPr>
        <w:rStyle w:val="7"/>
      </w:rPr>
      <w:fldChar w:fldCharType="end"/>
    </w:r>
  </w:p>
  <w:p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3E6B5A"/>
    <w:multiLevelType w:val="multilevel"/>
    <w:tmpl w:val="6F3E6B5A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Q4YjE1ZGQxOWRhODc1ZmFhMjJjNTM1NTRlYjA1YWEifQ=="/>
  </w:docVars>
  <w:rsids>
    <w:rsidRoot w:val="00ED1B0B"/>
    <w:rsid w:val="00BB5BBB"/>
    <w:rsid w:val="00ED1B0B"/>
    <w:rsid w:val="00F152E2"/>
    <w:rsid w:val="0F044793"/>
    <w:rsid w:val="1F29626C"/>
    <w:rsid w:val="4FBB52C8"/>
    <w:rsid w:val="640A12C3"/>
    <w:rsid w:val="648407CA"/>
    <w:rsid w:val="6FFD3FBC"/>
    <w:rsid w:val="7D0A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宋体" w:eastAsia="宋体" w:cs="Times New Roman"/>
      <w:bCs/>
      <w:spacing w:val="-10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sz w:val="30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paragraph" w:customStyle="1" w:styleId="8">
    <w:name w:val="Char Char Char 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bCs w:val="0"/>
      <w:spacing w:val="0"/>
      <w:kern w:val="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DK</Company>
  <Pages>2</Pages>
  <Words>167</Words>
  <Characters>952</Characters>
  <Lines>7</Lines>
  <Paragraphs>2</Paragraphs>
  <TotalTime>1</TotalTime>
  <ScaleCrop>false</ScaleCrop>
  <LinksUpToDate>false</LinksUpToDate>
  <CharactersWithSpaces>1117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2023-02-16T07:52:00Z</dcterms:created>
  <dc:creator>华为</dc:creator>
  <cp:lastModifiedBy>Administrator</cp:lastModifiedBy>
  <dcterms:modified xsi:type="dcterms:W3CDTF">2024-12-27T01:19:49Z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995FB2B534194D35A4FE81576A250FC0</vt:lpwstr>
  </property>
</Properties>
</file>